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7A0F8">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附表1：</w:t>
      </w:r>
    </w:p>
    <w:p w14:paraId="28F9FB0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金湖公园水上娱乐项目评分标准</w:t>
      </w:r>
    </w:p>
    <w:p w14:paraId="627AFB93">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（综合评分法）</w:t>
      </w:r>
    </w:p>
    <w:p w14:paraId="33669B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14:paraId="01D276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14:paraId="0177A25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14:paraId="77C8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0C8DCF99">
            <w:pPr>
              <w:rPr>
                <w:rFonts w:hint="default"/>
                <w:vertAlign w:val="baseline"/>
                <w:lang w:val="en-US" w:eastAsia="zh-CN"/>
              </w:rPr>
            </w:pPr>
            <w:r>
              <w:rPr>
                <w:rFonts w:hint="eastAsia"/>
                <w:vertAlign w:val="baseline"/>
                <w:lang w:val="en-US" w:eastAsia="zh-CN"/>
              </w:rPr>
              <w:t>序号</w:t>
            </w:r>
          </w:p>
        </w:tc>
        <w:tc>
          <w:tcPr>
            <w:tcW w:w="837" w:type="dxa"/>
          </w:tcPr>
          <w:p w14:paraId="1803E3EB">
            <w:pPr>
              <w:rPr>
                <w:rFonts w:hint="eastAsia"/>
                <w:vertAlign w:val="baseline"/>
                <w:lang w:val="en-US" w:eastAsia="zh-CN"/>
              </w:rPr>
            </w:pPr>
            <w:r>
              <w:rPr>
                <w:rFonts w:hint="eastAsia"/>
                <w:vertAlign w:val="baseline"/>
                <w:lang w:val="en-US" w:eastAsia="zh-CN"/>
              </w:rPr>
              <w:t>评审</w:t>
            </w:r>
          </w:p>
          <w:p w14:paraId="1D8E5FC7">
            <w:pPr>
              <w:rPr>
                <w:rFonts w:hint="default"/>
                <w:vertAlign w:val="baseline"/>
                <w:lang w:val="en-US" w:eastAsia="zh-CN"/>
              </w:rPr>
            </w:pPr>
            <w:r>
              <w:rPr>
                <w:rFonts w:hint="eastAsia"/>
                <w:vertAlign w:val="baseline"/>
                <w:lang w:val="en-US" w:eastAsia="zh-CN"/>
              </w:rPr>
              <w:t>因素</w:t>
            </w:r>
          </w:p>
        </w:tc>
        <w:tc>
          <w:tcPr>
            <w:tcW w:w="720" w:type="dxa"/>
          </w:tcPr>
          <w:p w14:paraId="0630A199">
            <w:pPr>
              <w:rPr>
                <w:rFonts w:hint="eastAsia"/>
                <w:vertAlign w:val="baseline"/>
                <w:lang w:val="en-US" w:eastAsia="zh-CN"/>
              </w:rPr>
            </w:pPr>
            <w:r>
              <w:rPr>
                <w:rFonts w:hint="eastAsia"/>
                <w:vertAlign w:val="baseline"/>
                <w:lang w:val="en-US" w:eastAsia="zh-CN"/>
              </w:rPr>
              <w:t>评审</w:t>
            </w:r>
          </w:p>
          <w:p w14:paraId="472F335D">
            <w:pPr>
              <w:rPr>
                <w:rFonts w:hint="default"/>
                <w:vertAlign w:val="baseline"/>
                <w:lang w:val="en-US" w:eastAsia="zh-CN"/>
              </w:rPr>
            </w:pPr>
            <w:r>
              <w:rPr>
                <w:rFonts w:hint="eastAsia"/>
                <w:vertAlign w:val="baseline"/>
                <w:lang w:val="en-US" w:eastAsia="zh-CN"/>
              </w:rPr>
              <w:t>内容</w:t>
            </w:r>
          </w:p>
        </w:tc>
        <w:tc>
          <w:tcPr>
            <w:tcW w:w="945" w:type="dxa"/>
          </w:tcPr>
          <w:p w14:paraId="64F5F741">
            <w:pPr>
              <w:rPr>
                <w:rFonts w:hint="default"/>
                <w:vertAlign w:val="baseline"/>
                <w:lang w:val="en-US" w:eastAsia="zh-CN"/>
              </w:rPr>
            </w:pPr>
            <w:r>
              <w:rPr>
                <w:rFonts w:hint="eastAsia"/>
                <w:vertAlign w:val="baseline"/>
                <w:lang w:val="en-US" w:eastAsia="zh-CN"/>
              </w:rPr>
              <w:t>标准分</w:t>
            </w:r>
          </w:p>
        </w:tc>
        <w:tc>
          <w:tcPr>
            <w:tcW w:w="5375" w:type="dxa"/>
          </w:tcPr>
          <w:p w14:paraId="321B341E">
            <w:pPr>
              <w:rPr>
                <w:rFonts w:hint="default"/>
                <w:vertAlign w:val="baseline"/>
                <w:lang w:val="en-US" w:eastAsia="zh-CN"/>
              </w:rPr>
            </w:pPr>
            <w:r>
              <w:rPr>
                <w:rFonts w:hint="eastAsia"/>
                <w:vertAlign w:val="baseline"/>
                <w:lang w:val="en-US" w:eastAsia="zh-CN"/>
              </w:rPr>
              <w:t>评分标准</w:t>
            </w:r>
          </w:p>
        </w:tc>
      </w:tr>
      <w:tr w14:paraId="490C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4DF8FA8">
            <w:pPr>
              <w:rPr>
                <w:rFonts w:hint="default"/>
                <w:vertAlign w:val="baseline"/>
                <w:lang w:val="en-US" w:eastAsia="zh-CN"/>
              </w:rPr>
            </w:pPr>
            <w:r>
              <w:rPr>
                <w:rFonts w:hint="eastAsia"/>
                <w:vertAlign w:val="baseline"/>
                <w:lang w:val="en-US" w:eastAsia="zh-CN"/>
              </w:rPr>
              <w:t>1</w:t>
            </w:r>
          </w:p>
        </w:tc>
        <w:tc>
          <w:tcPr>
            <w:tcW w:w="837" w:type="dxa"/>
            <w:vMerge w:val="restart"/>
          </w:tcPr>
          <w:p w14:paraId="4A14ACFE">
            <w:pPr>
              <w:rPr>
                <w:rFonts w:hint="default"/>
                <w:vertAlign w:val="baseline"/>
                <w:lang w:val="en-US" w:eastAsia="zh-CN"/>
              </w:rPr>
            </w:pPr>
            <w:r>
              <w:rPr>
                <w:rFonts w:hint="eastAsia"/>
                <w:vertAlign w:val="baseline"/>
                <w:lang w:val="en-US" w:eastAsia="zh-CN"/>
              </w:rPr>
              <w:t>企业资质（共10分）</w:t>
            </w:r>
          </w:p>
        </w:tc>
        <w:tc>
          <w:tcPr>
            <w:tcW w:w="720" w:type="dxa"/>
          </w:tcPr>
          <w:p w14:paraId="57AD8A5F">
            <w:pPr>
              <w:rPr>
                <w:rFonts w:hint="default"/>
                <w:vertAlign w:val="baseline"/>
                <w:lang w:val="en-US" w:eastAsia="zh-CN"/>
              </w:rPr>
            </w:pPr>
            <w:r>
              <w:rPr>
                <w:rFonts w:hint="eastAsia"/>
                <w:vertAlign w:val="baseline"/>
                <w:lang w:val="en-US" w:eastAsia="zh-CN"/>
              </w:rPr>
              <w:t>企业实缴资金</w:t>
            </w:r>
          </w:p>
        </w:tc>
        <w:tc>
          <w:tcPr>
            <w:tcW w:w="945" w:type="dxa"/>
          </w:tcPr>
          <w:p w14:paraId="7560D798">
            <w:pPr>
              <w:rPr>
                <w:rFonts w:hint="default"/>
                <w:vertAlign w:val="baseline"/>
                <w:lang w:val="en-US" w:eastAsia="zh-CN"/>
              </w:rPr>
            </w:pPr>
            <w:r>
              <w:rPr>
                <w:rFonts w:hint="eastAsia"/>
                <w:vertAlign w:val="baseline"/>
                <w:lang w:val="en-US" w:eastAsia="zh-CN"/>
              </w:rPr>
              <w:t>5分</w:t>
            </w:r>
          </w:p>
        </w:tc>
        <w:tc>
          <w:tcPr>
            <w:tcW w:w="5375" w:type="dxa"/>
          </w:tcPr>
          <w:p w14:paraId="600B4B4A">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14:paraId="7CE829D9">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14:paraId="6C2B234F">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14:paraId="4373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4DD4EF81">
            <w:pPr>
              <w:rPr>
                <w:rFonts w:hint="default"/>
                <w:vertAlign w:val="baseline"/>
                <w:lang w:val="en-US" w:eastAsia="zh-CN"/>
              </w:rPr>
            </w:pPr>
          </w:p>
        </w:tc>
        <w:tc>
          <w:tcPr>
            <w:tcW w:w="837" w:type="dxa"/>
            <w:vMerge w:val="continue"/>
          </w:tcPr>
          <w:p w14:paraId="5442E872">
            <w:pPr>
              <w:rPr>
                <w:rFonts w:hint="default"/>
                <w:vertAlign w:val="baseline"/>
                <w:lang w:val="en-US" w:eastAsia="zh-CN"/>
              </w:rPr>
            </w:pPr>
          </w:p>
        </w:tc>
        <w:tc>
          <w:tcPr>
            <w:tcW w:w="720" w:type="dxa"/>
          </w:tcPr>
          <w:p w14:paraId="29A70C68">
            <w:pPr>
              <w:rPr>
                <w:rFonts w:hint="default"/>
                <w:vertAlign w:val="baseline"/>
                <w:lang w:val="en-US" w:eastAsia="zh-CN"/>
              </w:rPr>
            </w:pPr>
            <w:r>
              <w:rPr>
                <w:rFonts w:hint="eastAsia"/>
                <w:vertAlign w:val="baseline"/>
                <w:lang w:val="en-US" w:eastAsia="zh-CN"/>
              </w:rPr>
              <w:t>过往案例</w:t>
            </w:r>
          </w:p>
        </w:tc>
        <w:tc>
          <w:tcPr>
            <w:tcW w:w="945" w:type="dxa"/>
          </w:tcPr>
          <w:p w14:paraId="6530CBBD">
            <w:pPr>
              <w:rPr>
                <w:rFonts w:hint="default"/>
                <w:vertAlign w:val="baseline"/>
                <w:lang w:val="en-US" w:eastAsia="zh-CN"/>
              </w:rPr>
            </w:pPr>
            <w:r>
              <w:rPr>
                <w:rFonts w:hint="eastAsia"/>
                <w:vertAlign w:val="baseline"/>
                <w:lang w:val="en-US" w:eastAsia="zh-CN"/>
              </w:rPr>
              <w:t>5分</w:t>
            </w:r>
          </w:p>
        </w:tc>
        <w:tc>
          <w:tcPr>
            <w:tcW w:w="5375" w:type="dxa"/>
          </w:tcPr>
          <w:p w14:paraId="47769616">
            <w:pPr>
              <w:rPr>
                <w:rFonts w:hint="default"/>
                <w:lang w:val="en-US" w:eastAsia="zh-CN"/>
              </w:rPr>
            </w:pPr>
            <w:r>
              <w:rPr>
                <w:rFonts w:hint="eastAsia"/>
                <w:lang w:val="en-US" w:eastAsia="zh-CN"/>
              </w:rPr>
              <w:t>2020年至今经营</w:t>
            </w:r>
            <w:r>
              <w:rPr>
                <w:rFonts w:hint="default"/>
                <w:lang w:val="en-US" w:eastAsia="zh-CN"/>
              </w:rPr>
              <w:t>至少</w:t>
            </w:r>
            <w:r>
              <w:rPr>
                <w:rFonts w:hint="eastAsia"/>
                <w:lang w:val="en-US" w:eastAsia="zh-CN"/>
              </w:rPr>
              <w:t>3个湖面游船或营地同类</w:t>
            </w:r>
            <w:r>
              <w:rPr>
                <w:rFonts w:hint="default"/>
                <w:lang w:val="en-US" w:eastAsia="zh-CN"/>
              </w:rPr>
              <w:t>项目，得5分；</w:t>
            </w:r>
          </w:p>
          <w:p w14:paraId="73381C5B">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14:paraId="3D9632BD">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14:paraId="75E3609F">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14:paraId="59CD13FE">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14:paraId="30F9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37F506D9">
            <w:pPr>
              <w:rPr>
                <w:rFonts w:hint="default"/>
                <w:vertAlign w:val="baseline"/>
                <w:lang w:val="en-US" w:eastAsia="zh-CN"/>
              </w:rPr>
            </w:pPr>
            <w:r>
              <w:rPr>
                <w:rFonts w:hint="eastAsia"/>
                <w:vertAlign w:val="baseline"/>
                <w:lang w:val="en-US" w:eastAsia="zh-CN"/>
              </w:rPr>
              <w:t>2</w:t>
            </w:r>
          </w:p>
        </w:tc>
        <w:tc>
          <w:tcPr>
            <w:tcW w:w="837" w:type="dxa"/>
          </w:tcPr>
          <w:p w14:paraId="48D35BF0">
            <w:pPr>
              <w:rPr>
                <w:rFonts w:hint="default"/>
                <w:vertAlign w:val="baseline"/>
                <w:lang w:val="en-US" w:eastAsia="zh-CN"/>
              </w:rPr>
            </w:pPr>
            <w:r>
              <w:rPr>
                <w:rFonts w:hint="eastAsia"/>
                <w:vertAlign w:val="baseline"/>
                <w:lang w:val="en-US" w:eastAsia="zh-CN"/>
              </w:rPr>
              <w:t>安全管理（10分）</w:t>
            </w:r>
          </w:p>
        </w:tc>
        <w:tc>
          <w:tcPr>
            <w:tcW w:w="720" w:type="dxa"/>
          </w:tcPr>
          <w:p w14:paraId="15294C88">
            <w:pPr>
              <w:rPr>
                <w:rFonts w:hint="default"/>
                <w:vertAlign w:val="baseline"/>
                <w:lang w:val="en-US" w:eastAsia="zh-CN"/>
              </w:rPr>
            </w:pPr>
            <w:r>
              <w:rPr>
                <w:rFonts w:hint="eastAsia"/>
                <w:vertAlign w:val="baseline"/>
                <w:lang w:val="en-US" w:eastAsia="zh-CN"/>
              </w:rPr>
              <w:t>安全管理制度</w:t>
            </w:r>
          </w:p>
        </w:tc>
        <w:tc>
          <w:tcPr>
            <w:tcW w:w="945" w:type="dxa"/>
          </w:tcPr>
          <w:p w14:paraId="049D4C53">
            <w:pPr>
              <w:rPr>
                <w:rFonts w:hint="default"/>
                <w:vertAlign w:val="baseline"/>
                <w:lang w:val="en-US" w:eastAsia="zh-CN"/>
              </w:rPr>
            </w:pPr>
            <w:r>
              <w:rPr>
                <w:rFonts w:hint="eastAsia"/>
                <w:vertAlign w:val="baseline"/>
                <w:lang w:val="en-US" w:eastAsia="zh-CN"/>
              </w:rPr>
              <w:t>10分</w:t>
            </w:r>
          </w:p>
        </w:tc>
        <w:tc>
          <w:tcPr>
            <w:tcW w:w="5375" w:type="dxa"/>
          </w:tcPr>
          <w:p w14:paraId="53A955BC">
            <w:pPr>
              <w:rPr>
                <w:rFonts w:hint="default"/>
                <w:lang w:val="en-US" w:eastAsia="zh-CN"/>
              </w:rPr>
            </w:pPr>
            <w:r>
              <w:rPr>
                <w:rFonts w:hint="default"/>
                <w:lang w:val="en-US" w:eastAsia="zh-CN"/>
              </w:rPr>
              <w:t xml:space="preserve">提供完善的项目安全管理制度，涵盖设备安全、人员安全、应急救援等全面内容，且制度具有可操作性和针对性，得 </w:t>
            </w:r>
            <w:r>
              <w:rPr>
                <w:rFonts w:hint="eastAsia"/>
                <w:lang w:val="en-US" w:eastAsia="zh-CN"/>
              </w:rPr>
              <w:t>8</w:t>
            </w:r>
            <w:r>
              <w:rPr>
                <w:rFonts w:hint="default"/>
                <w:lang w:val="en-US" w:eastAsia="zh-CN"/>
              </w:rPr>
              <w:t xml:space="preserve"> - </w:t>
            </w:r>
            <w:r>
              <w:rPr>
                <w:rFonts w:hint="eastAsia"/>
                <w:lang w:val="en-US" w:eastAsia="zh-CN"/>
              </w:rPr>
              <w:t>10</w:t>
            </w:r>
            <w:r>
              <w:rPr>
                <w:rFonts w:hint="default"/>
                <w:lang w:val="en-US" w:eastAsia="zh-CN"/>
              </w:rPr>
              <w:t>分；</w:t>
            </w:r>
          </w:p>
          <w:p w14:paraId="0C0E5D99">
            <w:pPr>
              <w:rPr>
                <w:rFonts w:hint="default"/>
                <w:lang w:val="en-US" w:eastAsia="zh-CN"/>
              </w:rPr>
            </w:pPr>
            <w:r>
              <w:rPr>
                <w:rFonts w:hint="default"/>
                <w:lang w:val="en-US" w:eastAsia="zh-CN"/>
              </w:rPr>
              <w:t xml:space="preserve">安全管理制度较完善，但存在部分内容缺失或不够细化，得 </w:t>
            </w:r>
            <w:r>
              <w:rPr>
                <w:rFonts w:hint="eastAsia"/>
                <w:lang w:val="en-US" w:eastAsia="zh-CN"/>
              </w:rPr>
              <w:t>5</w:t>
            </w:r>
            <w:r>
              <w:rPr>
                <w:rFonts w:hint="default"/>
                <w:lang w:val="en-US" w:eastAsia="zh-CN"/>
              </w:rPr>
              <w:t xml:space="preserve"> - </w:t>
            </w:r>
            <w:r>
              <w:rPr>
                <w:rFonts w:hint="eastAsia"/>
                <w:lang w:val="en-US" w:eastAsia="zh-CN"/>
              </w:rPr>
              <w:t>7</w:t>
            </w:r>
            <w:r>
              <w:rPr>
                <w:rFonts w:hint="default"/>
                <w:lang w:val="en-US" w:eastAsia="zh-CN"/>
              </w:rPr>
              <w:t xml:space="preserve"> 分；</w:t>
            </w:r>
          </w:p>
          <w:p w14:paraId="71F7D77D">
            <w:pPr>
              <w:rPr>
                <w:rFonts w:hint="default"/>
                <w:vertAlign w:val="baseline"/>
                <w:lang w:val="en-US" w:eastAsia="zh-CN"/>
              </w:rPr>
            </w:pPr>
            <w:r>
              <w:rPr>
                <w:rFonts w:hint="default"/>
                <w:lang w:val="en-US" w:eastAsia="zh-CN"/>
              </w:rPr>
              <w:t>安全管理制度基本框架存在，但内容简单、粗糙，得 1</w:t>
            </w:r>
            <w:r>
              <w:rPr>
                <w:rFonts w:hint="eastAsia"/>
                <w:lang w:val="en-US" w:eastAsia="zh-CN"/>
              </w:rPr>
              <w:t>-5</w:t>
            </w:r>
            <w:r>
              <w:rPr>
                <w:rFonts w:hint="default"/>
                <w:lang w:val="en-US" w:eastAsia="zh-CN"/>
              </w:rPr>
              <w:t xml:space="preserve"> 分。</w:t>
            </w:r>
          </w:p>
        </w:tc>
      </w:tr>
      <w:tr w14:paraId="3900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7CA8A34">
            <w:pPr>
              <w:rPr>
                <w:rFonts w:hint="default"/>
                <w:vertAlign w:val="baseline"/>
                <w:lang w:val="en-US" w:eastAsia="zh-CN"/>
              </w:rPr>
            </w:pPr>
            <w:r>
              <w:rPr>
                <w:rFonts w:hint="eastAsia"/>
                <w:vertAlign w:val="baseline"/>
                <w:lang w:val="en-US" w:eastAsia="zh-CN"/>
              </w:rPr>
              <w:t>3</w:t>
            </w:r>
          </w:p>
        </w:tc>
        <w:tc>
          <w:tcPr>
            <w:tcW w:w="837" w:type="dxa"/>
            <w:vMerge w:val="restart"/>
          </w:tcPr>
          <w:p w14:paraId="015D4337">
            <w:pPr>
              <w:rPr>
                <w:rFonts w:hint="default"/>
                <w:vertAlign w:val="baseline"/>
                <w:lang w:val="en-US" w:eastAsia="zh-CN"/>
              </w:rPr>
            </w:pPr>
            <w:r>
              <w:rPr>
                <w:rFonts w:hint="eastAsia"/>
                <w:vertAlign w:val="baseline"/>
                <w:lang w:val="en-US" w:eastAsia="zh-CN"/>
              </w:rPr>
              <w:t>建设经营方案（40分）</w:t>
            </w:r>
          </w:p>
        </w:tc>
        <w:tc>
          <w:tcPr>
            <w:tcW w:w="720" w:type="dxa"/>
          </w:tcPr>
          <w:p w14:paraId="7BF9DDA8">
            <w:pPr>
              <w:rPr>
                <w:rFonts w:hint="default"/>
                <w:vertAlign w:val="baseline"/>
                <w:lang w:val="en-US" w:eastAsia="zh-CN"/>
              </w:rPr>
            </w:pPr>
            <w:r>
              <w:rPr>
                <w:rFonts w:hint="default"/>
                <w:lang w:val="en-US" w:eastAsia="zh-CN"/>
              </w:rPr>
              <w:t>项目建设规划</w:t>
            </w:r>
          </w:p>
        </w:tc>
        <w:tc>
          <w:tcPr>
            <w:tcW w:w="945" w:type="dxa"/>
          </w:tcPr>
          <w:p w14:paraId="65A3567D">
            <w:pPr>
              <w:rPr>
                <w:rFonts w:hint="default"/>
                <w:vertAlign w:val="baseline"/>
                <w:lang w:val="en-US" w:eastAsia="zh-CN"/>
              </w:rPr>
            </w:pPr>
            <w:r>
              <w:rPr>
                <w:rFonts w:hint="default"/>
                <w:lang w:val="en-US" w:eastAsia="zh-CN"/>
              </w:rPr>
              <w:t>10 分</w:t>
            </w:r>
          </w:p>
        </w:tc>
        <w:tc>
          <w:tcPr>
            <w:tcW w:w="5375" w:type="dxa"/>
          </w:tcPr>
          <w:p w14:paraId="323E6C8B">
            <w:pPr>
              <w:rPr>
                <w:rFonts w:hint="default"/>
                <w:lang w:val="en-US" w:eastAsia="zh-CN"/>
              </w:rPr>
            </w:pPr>
            <w:r>
              <w:rPr>
                <w:rFonts w:hint="default"/>
                <w:lang w:val="en-US" w:eastAsia="zh-CN"/>
              </w:rPr>
              <w:t>对</w:t>
            </w:r>
            <w:r>
              <w:rPr>
                <w:rFonts w:hint="eastAsia"/>
                <w:lang w:val="en-US" w:eastAsia="zh-CN"/>
              </w:rPr>
              <w:t>水上娱乐</w:t>
            </w:r>
            <w:r>
              <w:rPr>
                <w:rFonts w:hint="default"/>
                <w:lang w:val="en-US" w:eastAsia="zh-CN"/>
              </w:rPr>
              <w:t>项目建设进行详细、合理的规划，包括场地布局、设施选型、施工进度安排等，规划符合</w:t>
            </w:r>
            <w:r>
              <w:rPr>
                <w:rFonts w:hint="eastAsia"/>
                <w:lang w:val="en-US" w:eastAsia="zh-CN"/>
              </w:rPr>
              <w:t>金湖公园</w:t>
            </w:r>
            <w:r>
              <w:rPr>
                <w:rFonts w:hint="default"/>
                <w:lang w:val="en-US" w:eastAsia="zh-CN"/>
              </w:rPr>
              <w:t>整体环境和安全要求，得 8 - 10 分；</w:t>
            </w:r>
          </w:p>
          <w:p w14:paraId="509B596D">
            <w:pPr>
              <w:rPr>
                <w:rFonts w:hint="default"/>
                <w:lang w:val="en-US" w:eastAsia="zh-CN"/>
              </w:rPr>
            </w:pPr>
            <w:r>
              <w:rPr>
                <w:rFonts w:hint="default"/>
                <w:lang w:val="en-US" w:eastAsia="zh-CN"/>
              </w:rPr>
              <w:t>项目建设规划较合理，但存在一些细节问题或考虑不够周全，得 5 - 7 分；</w:t>
            </w:r>
          </w:p>
          <w:p w14:paraId="771F6928">
            <w:pPr>
              <w:rPr>
                <w:rFonts w:hint="default"/>
                <w:vertAlign w:val="baseline"/>
                <w:lang w:val="en-US" w:eastAsia="zh-CN"/>
              </w:rPr>
            </w:pPr>
            <w:r>
              <w:rPr>
                <w:rFonts w:hint="default"/>
                <w:lang w:val="en-US" w:eastAsia="zh-CN"/>
              </w:rPr>
              <w:t>项目建设规划简单，缺乏具体内容和深度，得 1 - 4 分。</w:t>
            </w:r>
          </w:p>
        </w:tc>
      </w:tr>
      <w:tr w14:paraId="3817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466EBE1">
            <w:pPr>
              <w:rPr>
                <w:rFonts w:hint="default"/>
                <w:vertAlign w:val="baseline"/>
                <w:lang w:val="en-US" w:eastAsia="zh-CN"/>
              </w:rPr>
            </w:pPr>
          </w:p>
        </w:tc>
        <w:tc>
          <w:tcPr>
            <w:tcW w:w="837" w:type="dxa"/>
            <w:vMerge w:val="continue"/>
          </w:tcPr>
          <w:p w14:paraId="32D671F8">
            <w:pPr>
              <w:rPr>
                <w:rFonts w:hint="default"/>
                <w:vertAlign w:val="baseline"/>
                <w:lang w:val="en-US" w:eastAsia="zh-CN"/>
              </w:rPr>
            </w:pPr>
          </w:p>
        </w:tc>
        <w:tc>
          <w:tcPr>
            <w:tcW w:w="720" w:type="dxa"/>
          </w:tcPr>
          <w:p w14:paraId="1D0049E4">
            <w:pPr>
              <w:rPr>
                <w:rFonts w:hint="default"/>
                <w:vertAlign w:val="baseline"/>
                <w:lang w:val="en-US" w:eastAsia="zh-CN"/>
              </w:rPr>
            </w:pPr>
            <w:r>
              <w:rPr>
                <w:rFonts w:hint="default"/>
                <w:lang w:val="en-US" w:eastAsia="zh-CN"/>
              </w:rPr>
              <w:t>经营策略</w:t>
            </w:r>
          </w:p>
        </w:tc>
        <w:tc>
          <w:tcPr>
            <w:tcW w:w="945" w:type="dxa"/>
          </w:tcPr>
          <w:p w14:paraId="6FA6CCD5">
            <w:pPr>
              <w:rPr>
                <w:rFonts w:hint="default"/>
                <w:vertAlign w:val="baseline"/>
                <w:lang w:val="en-US" w:eastAsia="zh-CN"/>
              </w:rPr>
            </w:pPr>
            <w:r>
              <w:rPr>
                <w:rFonts w:hint="default"/>
                <w:lang w:val="en-US" w:eastAsia="zh-CN"/>
              </w:rPr>
              <w:t>10 分</w:t>
            </w:r>
          </w:p>
        </w:tc>
        <w:tc>
          <w:tcPr>
            <w:tcW w:w="5375" w:type="dxa"/>
          </w:tcPr>
          <w:p w14:paraId="145792F3">
            <w:pPr>
              <w:rPr>
                <w:rFonts w:hint="default"/>
                <w:lang w:val="en-US" w:eastAsia="zh-CN"/>
              </w:rPr>
            </w:pPr>
            <w:r>
              <w:rPr>
                <w:rFonts w:hint="default"/>
                <w:lang w:val="en-US" w:eastAsia="zh-CN"/>
              </w:rPr>
              <w:t>提出具有创新性和市场竞争力的经营策略，包括项目定位、目标客户群体分析、营销推广计划、盈利模式等，经营策略具有较强的可行性和可持续性，得 8 - 10 分；</w:t>
            </w:r>
          </w:p>
          <w:p w14:paraId="1502A967">
            <w:pPr>
              <w:rPr>
                <w:rFonts w:hint="default"/>
                <w:lang w:val="en-US" w:eastAsia="zh-CN"/>
              </w:rPr>
            </w:pPr>
            <w:r>
              <w:rPr>
                <w:rFonts w:hint="default"/>
                <w:lang w:val="en-US" w:eastAsia="zh-CN"/>
              </w:rPr>
              <w:t>经营策略合理，但创新性和市场竞争力一般，得 5 - 7 分；</w:t>
            </w:r>
          </w:p>
          <w:p w14:paraId="65367C9F">
            <w:pPr>
              <w:rPr>
                <w:rFonts w:hint="default"/>
                <w:vertAlign w:val="baseline"/>
                <w:lang w:val="en-US" w:eastAsia="zh-CN"/>
              </w:rPr>
            </w:pPr>
            <w:r>
              <w:rPr>
                <w:rFonts w:hint="default"/>
                <w:lang w:val="en-US" w:eastAsia="zh-CN"/>
              </w:rPr>
              <w:t>经营策略缺乏明确思路和具体措施，得 1 - 4 分。</w:t>
            </w:r>
          </w:p>
        </w:tc>
      </w:tr>
      <w:tr w14:paraId="111F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758AE3C5">
            <w:pPr>
              <w:rPr>
                <w:rFonts w:hint="default"/>
                <w:vertAlign w:val="baseline"/>
                <w:lang w:val="en-US" w:eastAsia="zh-CN"/>
              </w:rPr>
            </w:pPr>
          </w:p>
        </w:tc>
        <w:tc>
          <w:tcPr>
            <w:tcW w:w="837" w:type="dxa"/>
            <w:vMerge w:val="continue"/>
          </w:tcPr>
          <w:p w14:paraId="5D37F656">
            <w:pPr>
              <w:rPr>
                <w:rFonts w:hint="default"/>
                <w:vertAlign w:val="baseline"/>
                <w:lang w:val="en-US" w:eastAsia="zh-CN"/>
              </w:rPr>
            </w:pPr>
          </w:p>
        </w:tc>
        <w:tc>
          <w:tcPr>
            <w:tcW w:w="720" w:type="dxa"/>
          </w:tcPr>
          <w:p w14:paraId="45A283AE">
            <w:pPr>
              <w:rPr>
                <w:rFonts w:hint="default"/>
                <w:lang w:val="en-US" w:eastAsia="zh-CN"/>
              </w:rPr>
            </w:pPr>
            <w:r>
              <w:rPr>
                <w:rFonts w:hint="eastAsia"/>
                <w:lang w:val="en-US" w:eastAsia="zh-CN"/>
              </w:rPr>
              <w:t>投资规模</w:t>
            </w:r>
          </w:p>
        </w:tc>
        <w:tc>
          <w:tcPr>
            <w:tcW w:w="945" w:type="dxa"/>
          </w:tcPr>
          <w:p w14:paraId="6BC2D81A">
            <w:pPr>
              <w:rPr>
                <w:rFonts w:hint="default"/>
                <w:lang w:val="en-US" w:eastAsia="zh-CN"/>
              </w:rPr>
            </w:pPr>
            <w:r>
              <w:rPr>
                <w:rFonts w:hint="eastAsia"/>
                <w:lang w:val="en-US" w:eastAsia="zh-CN"/>
              </w:rPr>
              <w:t>10分</w:t>
            </w:r>
          </w:p>
        </w:tc>
        <w:tc>
          <w:tcPr>
            <w:tcW w:w="5375" w:type="dxa"/>
          </w:tcPr>
          <w:p w14:paraId="21F675DD">
            <w:pPr>
              <w:rPr>
                <w:rFonts w:hint="default"/>
                <w:lang w:val="en-US" w:eastAsia="zh-CN"/>
              </w:rPr>
            </w:pPr>
            <w:r>
              <w:rPr>
                <w:rFonts w:hint="eastAsia"/>
                <w:lang w:val="en-US" w:eastAsia="zh-CN"/>
              </w:rPr>
              <w:t>投资规模在50</w:t>
            </w:r>
            <w:r>
              <w:rPr>
                <w:rFonts w:hint="default"/>
                <w:lang w:val="en-US" w:eastAsia="zh-CN"/>
              </w:rPr>
              <w:t>万元及以上的，得 5 分；</w:t>
            </w:r>
          </w:p>
          <w:p w14:paraId="1C0E2804">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投资规模/50万</w:t>
            </w:r>
            <w:r>
              <w:rPr>
                <w:rFonts w:hint="default"/>
                <w:lang w:val="en-US" w:eastAsia="zh-CN"/>
              </w:rPr>
              <w:t xml:space="preserve">）× </w:t>
            </w:r>
            <w:r>
              <w:rPr>
                <w:rFonts w:hint="eastAsia"/>
                <w:lang w:val="en-US" w:eastAsia="zh-CN"/>
              </w:rPr>
              <w:t>10</w:t>
            </w:r>
            <w:r>
              <w:rPr>
                <w:rFonts w:hint="default"/>
                <w:lang w:val="en-US" w:eastAsia="zh-CN"/>
              </w:rPr>
              <w:t xml:space="preserve"> 。</w:t>
            </w:r>
          </w:p>
          <w:p w14:paraId="0F167EFF">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w:t>
            </w:r>
          </w:p>
        </w:tc>
      </w:tr>
      <w:tr w14:paraId="452B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03061D5">
            <w:pPr>
              <w:rPr>
                <w:rFonts w:hint="default"/>
                <w:vertAlign w:val="baseline"/>
                <w:lang w:val="en-US" w:eastAsia="zh-CN"/>
              </w:rPr>
            </w:pPr>
          </w:p>
        </w:tc>
        <w:tc>
          <w:tcPr>
            <w:tcW w:w="837" w:type="dxa"/>
            <w:vMerge w:val="continue"/>
          </w:tcPr>
          <w:p w14:paraId="77E761BA">
            <w:pPr>
              <w:rPr>
                <w:rFonts w:hint="default"/>
                <w:vertAlign w:val="baseline"/>
                <w:lang w:val="en-US" w:eastAsia="zh-CN"/>
              </w:rPr>
            </w:pPr>
          </w:p>
        </w:tc>
        <w:tc>
          <w:tcPr>
            <w:tcW w:w="720" w:type="dxa"/>
          </w:tcPr>
          <w:p w14:paraId="761A5988">
            <w:pPr>
              <w:jc w:val="center"/>
              <w:rPr>
                <w:rFonts w:hint="default"/>
                <w:vertAlign w:val="baseline"/>
                <w:lang w:val="en-US" w:eastAsia="zh-CN"/>
              </w:rPr>
            </w:pPr>
            <w:r>
              <w:rPr>
                <w:rFonts w:hint="eastAsia"/>
                <w:lang w:val="en-US" w:eastAsia="zh-CN"/>
              </w:rPr>
              <w:t>原有资产处理</w:t>
            </w:r>
          </w:p>
        </w:tc>
        <w:tc>
          <w:tcPr>
            <w:tcW w:w="945" w:type="dxa"/>
          </w:tcPr>
          <w:p w14:paraId="7EB73E1C">
            <w:pPr>
              <w:rPr>
                <w:rFonts w:hint="default"/>
                <w:vertAlign w:val="baseline"/>
                <w:lang w:val="en-US" w:eastAsia="zh-CN"/>
              </w:rPr>
            </w:pPr>
            <w:r>
              <w:rPr>
                <w:rFonts w:hint="eastAsia"/>
                <w:lang w:val="en-US" w:eastAsia="zh-CN"/>
              </w:rPr>
              <w:t>10</w:t>
            </w:r>
            <w:r>
              <w:rPr>
                <w:rFonts w:hint="default"/>
                <w:lang w:val="en-US" w:eastAsia="zh-CN"/>
              </w:rPr>
              <w:t>分</w:t>
            </w:r>
          </w:p>
        </w:tc>
        <w:tc>
          <w:tcPr>
            <w:tcW w:w="5375" w:type="dxa"/>
          </w:tcPr>
          <w:p w14:paraId="46425C9D">
            <w:pPr>
              <w:rPr>
                <w:rFonts w:hint="default"/>
                <w:lang w:val="en-US" w:eastAsia="zh-CN"/>
              </w:rPr>
            </w:pPr>
            <w:r>
              <w:rPr>
                <w:rFonts w:hint="eastAsia"/>
                <w:lang w:val="en-US" w:eastAsia="zh-CN"/>
              </w:rPr>
              <w:t>以购买形式直接承接原有场地资产</w:t>
            </w:r>
            <w:r>
              <w:rPr>
                <w:rFonts w:hint="default"/>
                <w:lang w:val="en-US" w:eastAsia="zh-CN"/>
              </w:rPr>
              <w:t>，得 10 分；</w:t>
            </w:r>
          </w:p>
          <w:p w14:paraId="735838F2">
            <w:pPr>
              <w:rPr>
                <w:rFonts w:hint="default"/>
                <w:lang w:val="en-US" w:eastAsia="zh-CN"/>
              </w:rPr>
            </w:pPr>
            <w:r>
              <w:rPr>
                <w:rFonts w:hint="eastAsia"/>
                <w:lang w:val="en-US" w:eastAsia="zh-CN"/>
              </w:rPr>
              <w:t>以租赁形式使用原有场地资产</w:t>
            </w:r>
            <w:r>
              <w:rPr>
                <w:rFonts w:hint="default"/>
                <w:lang w:val="en-US" w:eastAsia="zh-CN"/>
              </w:rPr>
              <w:t>，得 5 - 7 分；</w:t>
            </w:r>
          </w:p>
          <w:p w14:paraId="7565123D">
            <w:pPr>
              <w:rPr>
                <w:rFonts w:hint="default"/>
                <w:lang w:val="en-US" w:eastAsia="zh-CN"/>
              </w:rPr>
            </w:pPr>
            <w:r>
              <w:rPr>
                <w:rFonts w:hint="eastAsia"/>
                <w:lang w:val="en-US" w:eastAsia="zh-CN"/>
              </w:rPr>
              <w:t>清退原有资产重新投资</w:t>
            </w:r>
            <w:r>
              <w:rPr>
                <w:rFonts w:hint="default"/>
                <w:lang w:val="en-US" w:eastAsia="zh-CN"/>
              </w:rPr>
              <w:t>，得 1 - 4 分。</w:t>
            </w:r>
          </w:p>
          <w:p w14:paraId="0E8159A1">
            <w:pPr>
              <w:rPr>
                <w:rFonts w:hint="default"/>
                <w:lang w:val="en-US" w:eastAsia="zh-CN"/>
              </w:rPr>
            </w:pPr>
            <w:r>
              <w:rPr>
                <w:rFonts w:hint="eastAsia"/>
                <w:lang w:val="en-US" w:eastAsia="zh-CN"/>
              </w:rPr>
              <w:t>以上均需与原有资产所有方妥善协商处理。</w:t>
            </w:r>
          </w:p>
        </w:tc>
      </w:tr>
      <w:tr w14:paraId="6178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361FB81A">
            <w:pPr>
              <w:rPr>
                <w:rFonts w:hint="default"/>
                <w:vertAlign w:val="baseline"/>
                <w:lang w:val="en-US" w:eastAsia="zh-CN"/>
              </w:rPr>
            </w:pPr>
            <w:r>
              <w:rPr>
                <w:rFonts w:hint="eastAsia"/>
                <w:vertAlign w:val="baseline"/>
                <w:lang w:val="en-US" w:eastAsia="zh-CN"/>
              </w:rPr>
              <w:t>4</w:t>
            </w:r>
          </w:p>
        </w:tc>
        <w:tc>
          <w:tcPr>
            <w:tcW w:w="837" w:type="dxa"/>
            <w:vMerge w:val="restart"/>
          </w:tcPr>
          <w:p w14:paraId="3E3F090C">
            <w:pPr>
              <w:rPr>
                <w:rFonts w:hint="default"/>
                <w:vertAlign w:val="baseline"/>
                <w:lang w:val="en-US" w:eastAsia="zh-CN"/>
              </w:rPr>
            </w:pPr>
            <w:r>
              <w:rPr>
                <w:rFonts w:hint="eastAsia"/>
                <w:vertAlign w:val="baseline"/>
                <w:lang w:val="en-US" w:eastAsia="zh-CN"/>
              </w:rPr>
              <w:t>商务条款（40分）</w:t>
            </w:r>
          </w:p>
        </w:tc>
        <w:tc>
          <w:tcPr>
            <w:tcW w:w="720" w:type="dxa"/>
          </w:tcPr>
          <w:p w14:paraId="7692FF39">
            <w:pPr>
              <w:jc w:val="center"/>
              <w:rPr>
                <w:rFonts w:hint="default"/>
                <w:vertAlign w:val="baseline"/>
                <w:lang w:val="en-US" w:eastAsia="zh-CN"/>
              </w:rPr>
            </w:pPr>
            <w:r>
              <w:rPr>
                <w:rFonts w:hint="eastAsia"/>
                <w:lang w:val="en-US" w:eastAsia="zh-CN"/>
              </w:rPr>
              <w:t>保底金额报价</w:t>
            </w:r>
          </w:p>
        </w:tc>
        <w:tc>
          <w:tcPr>
            <w:tcW w:w="945" w:type="dxa"/>
          </w:tcPr>
          <w:p w14:paraId="6D71CB0A">
            <w:pPr>
              <w:rPr>
                <w:rFonts w:hint="default"/>
                <w:vertAlign w:val="baseline"/>
                <w:lang w:val="en-US" w:eastAsia="zh-CN"/>
              </w:rPr>
            </w:pPr>
            <w:r>
              <w:rPr>
                <w:rFonts w:hint="eastAsia"/>
                <w:lang w:val="en-US" w:eastAsia="zh-CN"/>
              </w:rPr>
              <w:t>20</w:t>
            </w:r>
            <w:r>
              <w:rPr>
                <w:rFonts w:hint="default"/>
                <w:lang w:val="en-US" w:eastAsia="zh-CN"/>
              </w:rPr>
              <w:t>分</w:t>
            </w:r>
          </w:p>
        </w:tc>
        <w:tc>
          <w:tcPr>
            <w:tcW w:w="5375" w:type="dxa"/>
          </w:tcPr>
          <w:p w14:paraId="3C1D512E">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10万元</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低于10万元不得分。超过20万元得满分20分。</w:t>
            </w:r>
          </w:p>
          <w:p w14:paraId="11588190">
            <w:pPr>
              <w:rPr>
                <w:rFonts w:hint="default"/>
                <w:vertAlign w:val="baseline"/>
                <w:lang w:val="en-US" w:eastAsia="zh-CN"/>
              </w:rPr>
            </w:pPr>
            <w:r>
              <w:rPr>
                <w:rFonts w:hint="default"/>
                <w:lang w:val="en-US" w:eastAsia="zh-CN"/>
              </w:rPr>
              <w:t>价格分按照下列公式计算：报价得分 =</w:t>
            </w:r>
            <w:r>
              <w:rPr>
                <w:rFonts w:hint="eastAsia"/>
                <w:lang w:val="en-US" w:eastAsia="zh-CN"/>
              </w:rPr>
              <w:t>10+</w:t>
            </w:r>
            <w:r>
              <w:rPr>
                <w:rFonts w:hint="default"/>
                <w:lang w:val="en-US" w:eastAsia="zh-CN"/>
              </w:rPr>
              <w:t>（</w:t>
            </w:r>
            <w:r>
              <w:rPr>
                <w:rFonts w:hint="eastAsia"/>
                <w:lang w:val="en-US" w:eastAsia="zh-CN"/>
              </w:rPr>
              <w:t>保底金额-10万</w:t>
            </w:r>
            <w:r>
              <w:rPr>
                <w:rFonts w:hint="default"/>
                <w:lang w:val="en-US" w:eastAsia="zh-CN"/>
              </w:rPr>
              <w:t xml:space="preserve"> / </w:t>
            </w:r>
            <w:r>
              <w:rPr>
                <w:rFonts w:hint="eastAsia"/>
                <w:lang w:val="en-US" w:eastAsia="zh-CN"/>
              </w:rPr>
              <w:t>10万</w:t>
            </w:r>
            <w:r>
              <w:rPr>
                <w:rFonts w:hint="default"/>
                <w:lang w:val="en-US" w:eastAsia="zh-CN"/>
              </w:rPr>
              <w:t xml:space="preserve">）× </w:t>
            </w:r>
            <w:r>
              <w:rPr>
                <w:rFonts w:hint="eastAsia"/>
                <w:lang w:val="en-US" w:eastAsia="zh-CN"/>
              </w:rPr>
              <w:t>10</w:t>
            </w:r>
            <w:r>
              <w:rPr>
                <w:rFonts w:hint="default"/>
                <w:lang w:val="en-US" w:eastAsia="zh-CN"/>
              </w:rPr>
              <w:t>。</w:t>
            </w:r>
          </w:p>
        </w:tc>
      </w:tr>
      <w:tr w14:paraId="4C0B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69E2D45">
            <w:pPr>
              <w:rPr>
                <w:rFonts w:hint="default"/>
                <w:vertAlign w:val="baseline"/>
                <w:lang w:val="en-US" w:eastAsia="zh-CN"/>
              </w:rPr>
            </w:pPr>
          </w:p>
        </w:tc>
        <w:tc>
          <w:tcPr>
            <w:tcW w:w="837" w:type="dxa"/>
            <w:vMerge w:val="continue"/>
          </w:tcPr>
          <w:p w14:paraId="015A96AD">
            <w:pPr>
              <w:rPr>
                <w:rFonts w:hint="eastAsia"/>
                <w:vertAlign w:val="baseline"/>
                <w:lang w:val="en-US" w:eastAsia="zh-CN"/>
              </w:rPr>
            </w:pPr>
          </w:p>
        </w:tc>
        <w:tc>
          <w:tcPr>
            <w:tcW w:w="720" w:type="dxa"/>
          </w:tcPr>
          <w:p w14:paraId="60262E91">
            <w:pPr>
              <w:rPr>
                <w:rFonts w:hint="default"/>
                <w:lang w:val="en-US" w:eastAsia="zh-CN"/>
              </w:rPr>
            </w:pPr>
            <w:r>
              <w:rPr>
                <w:rFonts w:hint="eastAsia"/>
                <w:lang w:val="en-US" w:eastAsia="zh-CN"/>
              </w:rPr>
              <w:t>分成比例</w:t>
            </w:r>
          </w:p>
        </w:tc>
        <w:tc>
          <w:tcPr>
            <w:tcW w:w="945" w:type="dxa"/>
          </w:tcPr>
          <w:p w14:paraId="6E3ACEDB">
            <w:pPr>
              <w:rPr>
                <w:rFonts w:hint="default"/>
                <w:lang w:val="en-US" w:eastAsia="zh-CN"/>
              </w:rPr>
            </w:pPr>
            <w:r>
              <w:rPr>
                <w:rFonts w:hint="eastAsia"/>
                <w:lang w:val="en-US" w:eastAsia="zh-CN"/>
              </w:rPr>
              <w:t>20分</w:t>
            </w:r>
          </w:p>
        </w:tc>
        <w:tc>
          <w:tcPr>
            <w:tcW w:w="5375" w:type="dxa"/>
          </w:tcPr>
          <w:p w14:paraId="577F541B">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10%</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低于10%不得分。超过20%得满20分。</w:t>
            </w:r>
          </w:p>
          <w:p w14:paraId="7F62F506">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10+</w:t>
            </w:r>
            <w:r>
              <w:rPr>
                <w:rFonts w:hint="default"/>
                <w:lang w:val="en-US" w:eastAsia="zh-CN"/>
              </w:rPr>
              <w:t>（</w:t>
            </w:r>
            <w:r>
              <w:rPr>
                <w:rFonts w:hint="eastAsia"/>
                <w:lang w:val="en-US" w:eastAsia="zh-CN"/>
              </w:rPr>
              <w:t>分成比例-10%</w:t>
            </w:r>
            <w:r>
              <w:rPr>
                <w:rFonts w:hint="default"/>
                <w:lang w:val="en-US" w:eastAsia="zh-CN"/>
              </w:rPr>
              <w:t xml:space="preserve">/ </w:t>
            </w:r>
            <w:r>
              <w:rPr>
                <w:rFonts w:hint="eastAsia"/>
                <w:lang w:val="en-US" w:eastAsia="zh-CN"/>
              </w:rPr>
              <w:t>10%</w:t>
            </w:r>
            <w:r>
              <w:rPr>
                <w:rFonts w:hint="default"/>
                <w:lang w:val="en-US" w:eastAsia="zh-CN"/>
              </w:rPr>
              <w:t xml:space="preserve">）× </w:t>
            </w:r>
            <w:r>
              <w:rPr>
                <w:rFonts w:hint="eastAsia"/>
                <w:lang w:val="en-US" w:eastAsia="zh-CN"/>
              </w:rPr>
              <w:t>20</w:t>
            </w:r>
            <w:r>
              <w:rPr>
                <w:rFonts w:hint="default"/>
                <w:lang w:val="en-US" w:eastAsia="zh-CN"/>
              </w:rPr>
              <w:t>。</w:t>
            </w:r>
          </w:p>
        </w:tc>
      </w:tr>
      <w:tr w14:paraId="5307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6FAAF08A">
            <w:pPr>
              <w:jc w:val="center"/>
              <w:rPr>
                <w:rFonts w:hint="default"/>
                <w:vertAlign w:val="baseline"/>
                <w:lang w:val="en-US" w:eastAsia="zh-CN"/>
              </w:rPr>
            </w:pPr>
            <w:r>
              <w:rPr>
                <w:rFonts w:hint="eastAsia"/>
                <w:vertAlign w:val="baseline"/>
                <w:lang w:val="en-US" w:eastAsia="zh-CN"/>
              </w:rPr>
              <w:t>总分100分</w:t>
            </w:r>
          </w:p>
        </w:tc>
      </w:tr>
    </w:tbl>
    <w:p w14:paraId="7770961D">
      <w:pPr>
        <w:rPr>
          <w:rFonts w:hint="default"/>
          <w:lang w:val="en-US" w:eastAsia="zh-CN"/>
        </w:rPr>
      </w:pPr>
    </w:p>
    <w:p w14:paraId="731E3BD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14:paraId="5658D64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14:paraId="3D1CE4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14:paraId="18B7A224">
      <w:pPr>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E4565D9B-D05B-4668-934D-EAC6D648A813}"/>
  </w:font>
  <w:font w:name="仿宋_GB2312">
    <w:panose1 w:val="02010609030101010101"/>
    <w:charset w:val="86"/>
    <w:family w:val="auto"/>
    <w:pitch w:val="default"/>
    <w:sig w:usb0="00000001" w:usb1="080E0000" w:usb2="00000000" w:usb3="00000000" w:csb0="00040000" w:csb1="00000000"/>
    <w:embedRegular r:id="rId2" w:fontKey="{F4199814-23DE-46C1-98F2-C42D4A5937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2U5N2QxOTY2ZmE0YmUzNzcxZTc4NmI3YjE3NmIifQ=="/>
  </w:docVars>
  <w:rsids>
    <w:rsidRoot w:val="1A325DA6"/>
    <w:rsid w:val="00985E59"/>
    <w:rsid w:val="14C227D2"/>
    <w:rsid w:val="1A325DA6"/>
    <w:rsid w:val="294A4553"/>
    <w:rsid w:val="2A2B1366"/>
    <w:rsid w:val="2C514365"/>
    <w:rsid w:val="37B12955"/>
    <w:rsid w:val="3F2E373C"/>
    <w:rsid w:val="40117CC2"/>
    <w:rsid w:val="43D610C2"/>
    <w:rsid w:val="4DB71094"/>
    <w:rsid w:val="50446DA2"/>
    <w:rsid w:val="57C82E1B"/>
    <w:rsid w:val="6370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1504</Words>
  <Characters>1571</Characters>
  <Lines>0</Lines>
  <Paragraphs>0</Paragraphs>
  <TotalTime>16</TotalTime>
  <ScaleCrop>false</ScaleCrop>
  <LinksUpToDate>false</LinksUpToDate>
  <CharactersWithSpaces>1642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二狗</cp:lastModifiedBy>
  <cp:lastPrinted>2025-04-08T10:31:00Z</cp:lastPrinted>
  <dcterms:modified xsi:type="dcterms:W3CDTF">2025-12-05T01:42:10Z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69B691E867D64E3297A6072F4964EEFB</vt:lpwstr>
  </property>
  <property fmtid="{D5CDD505-2E9C-101B-9397-08002B2CF9AE}" pid="4" name="KSOTemplateDocerSaveRecord">
    <vt:lpwstr>eyJoZGlkIjoiMzk2ZDBiYjNjNDQ3OWQ1NjI5M2I4Y2YxZjE3OGE2ZjkiLCJ1c2VySWQiOiIyNTgyMzUyMzcifQ==</vt:lpwstr>
  </property>
</Properties>
</file>