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E2666">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附件2：</w:t>
      </w:r>
    </w:p>
    <w:p w14:paraId="5309A63E">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海上文化体育娱乐项目评分标准</w:t>
      </w:r>
    </w:p>
    <w:p w14:paraId="481D43C2">
      <w:pPr>
        <w:jc w:val="center"/>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（综合评分法）</w:t>
      </w:r>
    </w:p>
    <w:p w14:paraId="3F9D42E6">
      <w:pPr>
        <w:rPr>
          <w:rFonts w:hint="eastAsia" w:ascii="仿宋_GB2312" w:hAnsi="仿宋_GB2312" w:eastAsia="仿宋_GB2312" w:cs="仿宋_GB2312"/>
          <w:sz w:val="32"/>
          <w:szCs w:val="32"/>
          <w:lang w:val="en-US" w:eastAsia="zh-CN"/>
        </w:rPr>
      </w:pPr>
    </w:p>
    <w:p w14:paraId="4C3B8DA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14:paraId="2473465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14:paraId="3B0A646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14:paraId="01C3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225199AB">
            <w:pPr>
              <w:rPr>
                <w:rFonts w:hint="default"/>
                <w:vertAlign w:val="baseline"/>
                <w:lang w:val="en-US" w:eastAsia="zh-CN"/>
              </w:rPr>
            </w:pPr>
            <w:r>
              <w:rPr>
                <w:rFonts w:hint="eastAsia"/>
                <w:vertAlign w:val="baseline"/>
                <w:lang w:val="en-US" w:eastAsia="zh-CN"/>
              </w:rPr>
              <w:t>序号</w:t>
            </w:r>
          </w:p>
        </w:tc>
        <w:tc>
          <w:tcPr>
            <w:tcW w:w="837" w:type="dxa"/>
          </w:tcPr>
          <w:p w14:paraId="1BDE6462">
            <w:pPr>
              <w:rPr>
                <w:rFonts w:hint="eastAsia"/>
                <w:vertAlign w:val="baseline"/>
                <w:lang w:val="en-US" w:eastAsia="zh-CN"/>
              </w:rPr>
            </w:pPr>
            <w:r>
              <w:rPr>
                <w:rFonts w:hint="eastAsia"/>
                <w:vertAlign w:val="baseline"/>
                <w:lang w:val="en-US" w:eastAsia="zh-CN"/>
              </w:rPr>
              <w:t>评审</w:t>
            </w:r>
          </w:p>
          <w:p w14:paraId="2AD461FC">
            <w:pPr>
              <w:rPr>
                <w:rFonts w:hint="default"/>
                <w:vertAlign w:val="baseline"/>
                <w:lang w:val="en-US" w:eastAsia="zh-CN"/>
              </w:rPr>
            </w:pPr>
            <w:r>
              <w:rPr>
                <w:rFonts w:hint="eastAsia"/>
                <w:vertAlign w:val="baseline"/>
                <w:lang w:val="en-US" w:eastAsia="zh-CN"/>
              </w:rPr>
              <w:t>因素</w:t>
            </w:r>
          </w:p>
        </w:tc>
        <w:tc>
          <w:tcPr>
            <w:tcW w:w="720" w:type="dxa"/>
          </w:tcPr>
          <w:p w14:paraId="293D9D89">
            <w:pPr>
              <w:rPr>
                <w:rFonts w:hint="eastAsia"/>
                <w:vertAlign w:val="baseline"/>
                <w:lang w:val="en-US" w:eastAsia="zh-CN"/>
              </w:rPr>
            </w:pPr>
            <w:r>
              <w:rPr>
                <w:rFonts w:hint="eastAsia"/>
                <w:vertAlign w:val="baseline"/>
                <w:lang w:val="en-US" w:eastAsia="zh-CN"/>
              </w:rPr>
              <w:t>评审</w:t>
            </w:r>
          </w:p>
          <w:p w14:paraId="078D4944">
            <w:pPr>
              <w:rPr>
                <w:rFonts w:hint="default"/>
                <w:vertAlign w:val="baseline"/>
                <w:lang w:val="en-US" w:eastAsia="zh-CN"/>
              </w:rPr>
            </w:pPr>
            <w:r>
              <w:rPr>
                <w:rFonts w:hint="eastAsia"/>
                <w:vertAlign w:val="baseline"/>
                <w:lang w:val="en-US" w:eastAsia="zh-CN"/>
              </w:rPr>
              <w:t>内容</w:t>
            </w:r>
          </w:p>
        </w:tc>
        <w:tc>
          <w:tcPr>
            <w:tcW w:w="945" w:type="dxa"/>
          </w:tcPr>
          <w:p w14:paraId="7FD801CD">
            <w:pPr>
              <w:rPr>
                <w:rFonts w:hint="default"/>
                <w:vertAlign w:val="baseline"/>
                <w:lang w:val="en-US" w:eastAsia="zh-CN"/>
              </w:rPr>
            </w:pPr>
            <w:r>
              <w:rPr>
                <w:rFonts w:hint="eastAsia"/>
                <w:vertAlign w:val="baseline"/>
                <w:lang w:val="en-US" w:eastAsia="zh-CN"/>
              </w:rPr>
              <w:t>标准分</w:t>
            </w:r>
          </w:p>
        </w:tc>
        <w:tc>
          <w:tcPr>
            <w:tcW w:w="5375" w:type="dxa"/>
          </w:tcPr>
          <w:p w14:paraId="75FF8E48">
            <w:pPr>
              <w:rPr>
                <w:rFonts w:hint="default"/>
                <w:vertAlign w:val="baseline"/>
                <w:lang w:val="en-US" w:eastAsia="zh-CN"/>
              </w:rPr>
            </w:pPr>
            <w:r>
              <w:rPr>
                <w:rFonts w:hint="eastAsia"/>
                <w:vertAlign w:val="baseline"/>
                <w:lang w:val="en-US" w:eastAsia="zh-CN"/>
              </w:rPr>
              <w:t>评分标准</w:t>
            </w:r>
          </w:p>
        </w:tc>
      </w:tr>
      <w:tr w14:paraId="29BB7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375514BC">
            <w:pPr>
              <w:rPr>
                <w:rFonts w:hint="default"/>
                <w:vertAlign w:val="baseline"/>
                <w:lang w:val="en-US" w:eastAsia="zh-CN"/>
              </w:rPr>
            </w:pPr>
            <w:r>
              <w:rPr>
                <w:rFonts w:hint="eastAsia"/>
                <w:vertAlign w:val="baseline"/>
                <w:lang w:val="en-US" w:eastAsia="zh-CN"/>
              </w:rPr>
              <w:t>1</w:t>
            </w:r>
          </w:p>
        </w:tc>
        <w:tc>
          <w:tcPr>
            <w:tcW w:w="837" w:type="dxa"/>
            <w:vMerge w:val="restart"/>
          </w:tcPr>
          <w:p w14:paraId="20145734">
            <w:pPr>
              <w:rPr>
                <w:rFonts w:hint="default"/>
                <w:vertAlign w:val="baseline"/>
                <w:lang w:val="en-US" w:eastAsia="zh-CN"/>
              </w:rPr>
            </w:pPr>
            <w:r>
              <w:rPr>
                <w:rFonts w:hint="eastAsia"/>
                <w:vertAlign w:val="baseline"/>
                <w:lang w:val="en-US" w:eastAsia="zh-CN"/>
              </w:rPr>
              <w:t>企业资质（共10分）</w:t>
            </w:r>
          </w:p>
        </w:tc>
        <w:tc>
          <w:tcPr>
            <w:tcW w:w="720" w:type="dxa"/>
          </w:tcPr>
          <w:p w14:paraId="65EDCD4C">
            <w:pPr>
              <w:rPr>
                <w:rFonts w:hint="default"/>
                <w:vertAlign w:val="baseline"/>
                <w:lang w:val="en-US" w:eastAsia="zh-CN"/>
              </w:rPr>
            </w:pPr>
            <w:r>
              <w:rPr>
                <w:rFonts w:hint="eastAsia"/>
                <w:vertAlign w:val="baseline"/>
                <w:lang w:val="en-US" w:eastAsia="zh-CN"/>
              </w:rPr>
              <w:t>企业实缴资金</w:t>
            </w:r>
          </w:p>
        </w:tc>
        <w:tc>
          <w:tcPr>
            <w:tcW w:w="945" w:type="dxa"/>
          </w:tcPr>
          <w:p w14:paraId="13F1AC84">
            <w:pPr>
              <w:rPr>
                <w:rFonts w:hint="default"/>
                <w:vertAlign w:val="baseline"/>
                <w:lang w:val="en-US" w:eastAsia="zh-CN"/>
              </w:rPr>
            </w:pPr>
            <w:r>
              <w:rPr>
                <w:rFonts w:hint="eastAsia"/>
                <w:vertAlign w:val="baseline"/>
                <w:lang w:val="en-US" w:eastAsia="zh-CN"/>
              </w:rPr>
              <w:t>5分</w:t>
            </w:r>
          </w:p>
        </w:tc>
        <w:tc>
          <w:tcPr>
            <w:tcW w:w="5375" w:type="dxa"/>
          </w:tcPr>
          <w:p w14:paraId="37055934">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万元及以上的，得 5 分；</w:t>
            </w:r>
          </w:p>
          <w:p w14:paraId="1C4458B6">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5</w:t>
            </w:r>
            <w:r>
              <w:rPr>
                <w:rFonts w:hint="default"/>
                <w:lang w:val="en-US" w:eastAsia="zh-CN"/>
              </w:rPr>
              <w:t xml:space="preserve"> 。</w:t>
            </w:r>
          </w:p>
          <w:p w14:paraId="14100014">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14:paraId="629CC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64701820">
            <w:pPr>
              <w:rPr>
                <w:rFonts w:hint="default"/>
                <w:vertAlign w:val="baseline"/>
                <w:lang w:val="en-US" w:eastAsia="zh-CN"/>
              </w:rPr>
            </w:pPr>
          </w:p>
        </w:tc>
        <w:tc>
          <w:tcPr>
            <w:tcW w:w="837" w:type="dxa"/>
            <w:vMerge w:val="continue"/>
          </w:tcPr>
          <w:p w14:paraId="354CDE0E">
            <w:pPr>
              <w:rPr>
                <w:rFonts w:hint="default"/>
                <w:vertAlign w:val="baseline"/>
                <w:lang w:val="en-US" w:eastAsia="zh-CN"/>
              </w:rPr>
            </w:pPr>
          </w:p>
        </w:tc>
        <w:tc>
          <w:tcPr>
            <w:tcW w:w="720" w:type="dxa"/>
          </w:tcPr>
          <w:p w14:paraId="34983BBE">
            <w:pPr>
              <w:rPr>
                <w:rFonts w:hint="default"/>
                <w:vertAlign w:val="baseline"/>
                <w:lang w:val="en-US" w:eastAsia="zh-CN"/>
              </w:rPr>
            </w:pPr>
            <w:r>
              <w:rPr>
                <w:rFonts w:hint="eastAsia"/>
                <w:vertAlign w:val="baseline"/>
                <w:lang w:val="en-US" w:eastAsia="zh-CN"/>
              </w:rPr>
              <w:t>过往案例</w:t>
            </w:r>
          </w:p>
        </w:tc>
        <w:tc>
          <w:tcPr>
            <w:tcW w:w="945" w:type="dxa"/>
          </w:tcPr>
          <w:p w14:paraId="73120226">
            <w:pPr>
              <w:rPr>
                <w:rFonts w:hint="default"/>
                <w:vertAlign w:val="baseline"/>
                <w:lang w:val="en-US" w:eastAsia="zh-CN"/>
              </w:rPr>
            </w:pPr>
            <w:r>
              <w:rPr>
                <w:rFonts w:hint="eastAsia"/>
                <w:vertAlign w:val="baseline"/>
                <w:lang w:val="en-US" w:eastAsia="zh-CN"/>
              </w:rPr>
              <w:t>5分</w:t>
            </w:r>
          </w:p>
        </w:tc>
        <w:tc>
          <w:tcPr>
            <w:tcW w:w="5375" w:type="dxa"/>
          </w:tcPr>
          <w:p w14:paraId="73605C0E">
            <w:pPr>
              <w:rPr>
                <w:rFonts w:hint="default"/>
                <w:lang w:val="en-US" w:eastAsia="zh-CN"/>
              </w:rPr>
            </w:pPr>
            <w:r>
              <w:rPr>
                <w:rFonts w:hint="eastAsia"/>
                <w:lang w:val="en-US" w:eastAsia="zh-CN"/>
              </w:rPr>
              <w:t>2020年至今经营</w:t>
            </w:r>
            <w:r>
              <w:rPr>
                <w:rFonts w:hint="default"/>
                <w:lang w:val="en-US" w:eastAsia="zh-CN"/>
              </w:rPr>
              <w:t>至少3个海上娱乐项目，得5分；</w:t>
            </w:r>
          </w:p>
          <w:p w14:paraId="6C6DE0B9">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的，得3分；</w:t>
            </w:r>
          </w:p>
          <w:p w14:paraId="567E573B">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的，得1分；</w:t>
            </w:r>
          </w:p>
          <w:p w14:paraId="10AAB471">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14:paraId="7DC5A731">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14:paraId="5613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0CD68F87">
            <w:pPr>
              <w:rPr>
                <w:rFonts w:hint="default"/>
                <w:vertAlign w:val="baseline"/>
                <w:lang w:val="en-US" w:eastAsia="zh-CN"/>
              </w:rPr>
            </w:pPr>
            <w:r>
              <w:rPr>
                <w:rFonts w:hint="eastAsia"/>
                <w:vertAlign w:val="baseline"/>
                <w:lang w:val="en-US" w:eastAsia="zh-CN"/>
              </w:rPr>
              <w:t>2</w:t>
            </w:r>
          </w:p>
        </w:tc>
        <w:tc>
          <w:tcPr>
            <w:tcW w:w="837" w:type="dxa"/>
            <w:vMerge w:val="restart"/>
          </w:tcPr>
          <w:p w14:paraId="7E3824D8">
            <w:pPr>
              <w:rPr>
                <w:rFonts w:hint="default"/>
                <w:vertAlign w:val="baseline"/>
                <w:lang w:val="en-US" w:eastAsia="zh-CN"/>
              </w:rPr>
            </w:pPr>
            <w:r>
              <w:rPr>
                <w:rFonts w:hint="eastAsia"/>
                <w:vertAlign w:val="baseline"/>
                <w:lang w:val="en-US" w:eastAsia="zh-CN"/>
              </w:rPr>
              <w:t>安全管理（20分）</w:t>
            </w:r>
          </w:p>
        </w:tc>
        <w:tc>
          <w:tcPr>
            <w:tcW w:w="720" w:type="dxa"/>
          </w:tcPr>
          <w:p w14:paraId="226E08D0">
            <w:pPr>
              <w:rPr>
                <w:rFonts w:hint="default"/>
                <w:vertAlign w:val="baseline"/>
                <w:lang w:val="en-US" w:eastAsia="zh-CN"/>
              </w:rPr>
            </w:pPr>
            <w:r>
              <w:rPr>
                <w:rFonts w:hint="eastAsia"/>
                <w:vertAlign w:val="baseline"/>
                <w:lang w:val="en-US" w:eastAsia="zh-CN"/>
              </w:rPr>
              <w:t>安全管理制度</w:t>
            </w:r>
          </w:p>
        </w:tc>
        <w:tc>
          <w:tcPr>
            <w:tcW w:w="945" w:type="dxa"/>
          </w:tcPr>
          <w:p w14:paraId="61E7F313">
            <w:pPr>
              <w:rPr>
                <w:rFonts w:hint="default"/>
                <w:vertAlign w:val="baseline"/>
                <w:lang w:val="en-US" w:eastAsia="zh-CN"/>
              </w:rPr>
            </w:pPr>
            <w:r>
              <w:rPr>
                <w:rFonts w:hint="eastAsia"/>
                <w:vertAlign w:val="baseline"/>
                <w:lang w:val="en-US" w:eastAsia="zh-CN"/>
              </w:rPr>
              <w:t>5分</w:t>
            </w:r>
          </w:p>
        </w:tc>
        <w:tc>
          <w:tcPr>
            <w:tcW w:w="5375" w:type="dxa"/>
          </w:tcPr>
          <w:p w14:paraId="6233629B">
            <w:pPr>
              <w:rPr>
                <w:rFonts w:hint="default"/>
                <w:lang w:val="en-US" w:eastAsia="zh-CN"/>
              </w:rPr>
            </w:pPr>
            <w:r>
              <w:rPr>
                <w:rFonts w:hint="default"/>
                <w:lang w:val="en-US" w:eastAsia="zh-CN"/>
              </w:rPr>
              <w:t>提供完善的海上娱乐项目安全管理制度，涵盖设备安全、人员安全、应急救援等全面内容，且制度具有可操作性和针对性，得 4 - 5 分；</w:t>
            </w:r>
          </w:p>
          <w:p w14:paraId="13006C53">
            <w:pPr>
              <w:rPr>
                <w:rFonts w:hint="default"/>
                <w:lang w:val="en-US" w:eastAsia="zh-CN"/>
              </w:rPr>
            </w:pPr>
            <w:r>
              <w:rPr>
                <w:rFonts w:hint="default"/>
                <w:lang w:val="en-US" w:eastAsia="zh-CN"/>
              </w:rPr>
              <w:t>安全管理制度较完善，但存在部分内容缺失或不够细化，得 2 - 3 分；</w:t>
            </w:r>
          </w:p>
          <w:p w14:paraId="3092E962">
            <w:pPr>
              <w:rPr>
                <w:rFonts w:hint="default"/>
                <w:vertAlign w:val="baseline"/>
                <w:lang w:val="en-US" w:eastAsia="zh-CN"/>
              </w:rPr>
            </w:pPr>
            <w:r>
              <w:rPr>
                <w:rFonts w:hint="default"/>
                <w:lang w:val="en-US" w:eastAsia="zh-CN"/>
              </w:rPr>
              <w:t>安全管理制度基本框架存在，但内容简单、粗糙，得 1 分。</w:t>
            </w:r>
          </w:p>
        </w:tc>
      </w:tr>
      <w:tr w14:paraId="4CFD0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21CDE729">
            <w:pPr>
              <w:rPr>
                <w:rFonts w:hint="default"/>
                <w:vertAlign w:val="baseline"/>
                <w:lang w:val="en-US" w:eastAsia="zh-CN"/>
              </w:rPr>
            </w:pPr>
          </w:p>
        </w:tc>
        <w:tc>
          <w:tcPr>
            <w:tcW w:w="837" w:type="dxa"/>
            <w:vMerge w:val="continue"/>
          </w:tcPr>
          <w:p w14:paraId="0FCD6655">
            <w:pPr>
              <w:rPr>
                <w:rFonts w:hint="default"/>
                <w:vertAlign w:val="baseline"/>
                <w:lang w:val="en-US" w:eastAsia="zh-CN"/>
              </w:rPr>
            </w:pPr>
          </w:p>
        </w:tc>
        <w:tc>
          <w:tcPr>
            <w:tcW w:w="720" w:type="dxa"/>
          </w:tcPr>
          <w:p w14:paraId="78FE8327">
            <w:pPr>
              <w:rPr>
                <w:rFonts w:hint="default"/>
                <w:vertAlign w:val="baseline"/>
                <w:lang w:val="en-US" w:eastAsia="zh-CN"/>
              </w:rPr>
            </w:pPr>
            <w:r>
              <w:rPr>
                <w:rFonts w:hint="eastAsia"/>
                <w:vertAlign w:val="baseline"/>
                <w:lang w:val="en-US" w:eastAsia="zh-CN"/>
              </w:rPr>
              <w:t>安全人员配备计划</w:t>
            </w:r>
          </w:p>
        </w:tc>
        <w:tc>
          <w:tcPr>
            <w:tcW w:w="945" w:type="dxa"/>
          </w:tcPr>
          <w:p w14:paraId="3E4D0118">
            <w:pPr>
              <w:rPr>
                <w:rFonts w:hint="default"/>
                <w:vertAlign w:val="baseline"/>
                <w:lang w:val="en-US" w:eastAsia="zh-CN"/>
              </w:rPr>
            </w:pPr>
            <w:r>
              <w:rPr>
                <w:rFonts w:hint="eastAsia"/>
                <w:vertAlign w:val="baseline"/>
                <w:lang w:val="en-US" w:eastAsia="zh-CN"/>
              </w:rPr>
              <w:t>5分</w:t>
            </w:r>
          </w:p>
        </w:tc>
        <w:tc>
          <w:tcPr>
            <w:tcW w:w="5375" w:type="dxa"/>
          </w:tcPr>
          <w:p w14:paraId="6A2FB7BE">
            <w:pPr>
              <w:rPr>
                <w:rFonts w:hint="default"/>
                <w:lang w:val="en-US" w:eastAsia="zh-CN"/>
              </w:rPr>
            </w:pPr>
            <w:r>
              <w:rPr>
                <w:rFonts w:hint="default"/>
                <w:lang w:val="en-US" w:eastAsia="zh-CN"/>
              </w:rPr>
              <w:t>根据项目规模和需求，详细制定合理的安全人员配备计划，包括人员数量、资质要求、职责分工等，得 4 - 5 分；</w:t>
            </w:r>
          </w:p>
          <w:p w14:paraId="4A140CC0">
            <w:pPr>
              <w:rPr>
                <w:rFonts w:hint="default"/>
                <w:lang w:val="en-US" w:eastAsia="zh-CN"/>
              </w:rPr>
            </w:pPr>
            <w:r>
              <w:rPr>
                <w:rFonts w:hint="default"/>
                <w:lang w:val="en-US" w:eastAsia="zh-CN"/>
              </w:rPr>
              <w:t>有安全人员配备计划，但不够详细或合理性一般，得 2 - 3 分；</w:t>
            </w:r>
          </w:p>
          <w:p w14:paraId="699C3212">
            <w:pPr>
              <w:rPr>
                <w:rFonts w:hint="default"/>
                <w:vertAlign w:val="baseline"/>
                <w:lang w:val="en-US" w:eastAsia="zh-CN"/>
              </w:rPr>
            </w:pPr>
            <w:r>
              <w:rPr>
                <w:rFonts w:hint="default"/>
                <w:lang w:val="en-US" w:eastAsia="zh-CN"/>
              </w:rPr>
              <w:t>安全人员配备计划简单模糊，得 1 分。</w:t>
            </w:r>
          </w:p>
        </w:tc>
      </w:tr>
      <w:tr w14:paraId="4A93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472E552F">
            <w:pPr>
              <w:rPr>
                <w:rFonts w:hint="default"/>
                <w:vertAlign w:val="baseline"/>
                <w:lang w:val="en-US" w:eastAsia="zh-CN"/>
              </w:rPr>
            </w:pPr>
          </w:p>
        </w:tc>
        <w:tc>
          <w:tcPr>
            <w:tcW w:w="837" w:type="dxa"/>
            <w:vMerge w:val="continue"/>
          </w:tcPr>
          <w:p w14:paraId="447D8B15">
            <w:pPr>
              <w:rPr>
                <w:rFonts w:hint="default"/>
                <w:vertAlign w:val="baseline"/>
                <w:lang w:val="en-US" w:eastAsia="zh-CN"/>
              </w:rPr>
            </w:pPr>
          </w:p>
        </w:tc>
        <w:tc>
          <w:tcPr>
            <w:tcW w:w="720" w:type="dxa"/>
          </w:tcPr>
          <w:p w14:paraId="38CF2EE0">
            <w:pPr>
              <w:rPr>
                <w:rFonts w:hint="default"/>
                <w:vertAlign w:val="baseline"/>
                <w:lang w:val="en-US" w:eastAsia="zh-CN"/>
              </w:rPr>
            </w:pPr>
            <w:r>
              <w:rPr>
                <w:rFonts w:hint="eastAsia"/>
                <w:lang w:val="en-US" w:eastAsia="zh-CN"/>
              </w:rPr>
              <w:t>安全荣誉及资质</w:t>
            </w:r>
          </w:p>
        </w:tc>
        <w:tc>
          <w:tcPr>
            <w:tcW w:w="945" w:type="dxa"/>
          </w:tcPr>
          <w:p w14:paraId="620E0AC8">
            <w:pPr>
              <w:rPr>
                <w:rFonts w:hint="default"/>
                <w:vertAlign w:val="baseline"/>
                <w:lang w:val="en-US" w:eastAsia="zh-CN"/>
              </w:rPr>
            </w:pPr>
            <w:r>
              <w:rPr>
                <w:rFonts w:hint="default"/>
                <w:lang w:val="en-US" w:eastAsia="zh-CN"/>
              </w:rPr>
              <w:t>5 分</w:t>
            </w:r>
          </w:p>
        </w:tc>
        <w:tc>
          <w:tcPr>
            <w:tcW w:w="5375" w:type="dxa"/>
          </w:tcPr>
          <w:p w14:paraId="01F9FA8B">
            <w:pPr>
              <w:rPr>
                <w:rFonts w:hint="eastAsia"/>
                <w:vertAlign w:val="baseline"/>
                <w:lang w:val="en-US" w:eastAsia="zh-CN"/>
              </w:rPr>
            </w:pPr>
            <w:r>
              <w:rPr>
                <w:rFonts w:hint="eastAsia"/>
                <w:vertAlign w:val="baseline"/>
                <w:lang w:val="en-US" w:eastAsia="zh-CN"/>
              </w:rPr>
              <w:t>拥有国家级荣誉、表彰及资质，得3分；</w:t>
            </w:r>
          </w:p>
          <w:p w14:paraId="5AE4D0A9">
            <w:pPr>
              <w:rPr>
                <w:rFonts w:hint="eastAsia"/>
                <w:vertAlign w:val="baseline"/>
                <w:lang w:val="en-US" w:eastAsia="zh-CN"/>
              </w:rPr>
            </w:pPr>
            <w:r>
              <w:rPr>
                <w:rFonts w:hint="eastAsia"/>
                <w:vertAlign w:val="baseline"/>
                <w:lang w:val="en-US" w:eastAsia="zh-CN"/>
              </w:rPr>
              <w:t>拥有省级荣誉、表彰及资质，得2分；</w:t>
            </w:r>
          </w:p>
          <w:p w14:paraId="0A7ED81F">
            <w:pPr>
              <w:rPr>
                <w:rFonts w:hint="eastAsia"/>
                <w:vertAlign w:val="baseline"/>
                <w:lang w:val="en-US" w:eastAsia="zh-CN"/>
              </w:rPr>
            </w:pPr>
            <w:r>
              <w:rPr>
                <w:rFonts w:hint="eastAsia"/>
                <w:vertAlign w:val="baseline"/>
                <w:lang w:val="en-US" w:eastAsia="zh-CN"/>
              </w:rPr>
              <w:t>拥有市级及以下荣誉、表彰及资质，得1分；</w:t>
            </w:r>
          </w:p>
          <w:p w14:paraId="05AB3C36">
            <w:pPr>
              <w:rPr>
                <w:rFonts w:hint="default"/>
                <w:vertAlign w:val="baseline"/>
                <w:lang w:val="en-US" w:eastAsia="zh-CN"/>
              </w:rPr>
            </w:pPr>
            <w:r>
              <w:rPr>
                <w:rFonts w:hint="eastAsia"/>
                <w:vertAlign w:val="baseline"/>
                <w:lang w:val="en-US" w:eastAsia="zh-CN"/>
              </w:rPr>
              <w:t>5分封顶，超出不得分。需提供资质证书、表彰等复印件或官网截图，原件备查。</w:t>
            </w:r>
          </w:p>
        </w:tc>
      </w:tr>
      <w:tr w14:paraId="581E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4A81586A">
            <w:pPr>
              <w:rPr>
                <w:rFonts w:hint="default"/>
                <w:vertAlign w:val="baseline"/>
                <w:lang w:val="en-US" w:eastAsia="zh-CN"/>
              </w:rPr>
            </w:pPr>
          </w:p>
        </w:tc>
        <w:tc>
          <w:tcPr>
            <w:tcW w:w="837" w:type="dxa"/>
            <w:vMerge w:val="continue"/>
          </w:tcPr>
          <w:p w14:paraId="1D38E5E7">
            <w:pPr>
              <w:rPr>
                <w:rFonts w:hint="default"/>
                <w:vertAlign w:val="baseline"/>
                <w:lang w:val="en-US" w:eastAsia="zh-CN"/>
              </w:rPr>
            </w:pPr>
          </w:p>
        </w:tc>
        <w:tc>
          <w:tcPr>
            <w:tcW w:w="720" w:type="dxa"/>
          </w:tcPr>
          <w:p w14:paraId="3C6EE135">
            <w:pPr>
              <w:rPr>
                <w:rFonts w:hint="default"/>
                <w:vertAlign w:val="baseline"/>
                <w:lang w:val="en-US" w:eastAsia="zh-CN"/>
              </w:rPr>
            </w:pPr>
            <w:r>
              <w:rPr>
                <w:rFonts w:hint="default"/>
                <w:lang w:val="en-US" w:eastAsia="zh-CN"/>
              </w:rPr>
              <w:t>应急预案</w:t>
            </w:r>
          </w:p>
        </w:tc>
        <w:tc>
          <w:tcPr>
            <w:tcW w:w="945" w:type="dxa"/>
          </w:tcPr>
          <w:p w14:paraId="7BD3A907">
            <w:pPr>
              <w:rPr>
                <w:rFonts w:hint="default"/>
                <w:vertAlign w:val="baseline"/>
                <w:lang w:val="en-US" w:eastAsia="zh-CN"/>
              </w:rPr>
            </w:pPr>
            <w:r>
              <w:rPr>
                <w:rFonts w:hint="default"/>
                <w:lang w:val="en-US" w:eastAsia="zh-CN"/>
              </w:rPr>
              <w:t>5 分</w:t>
            </w:r>
          </w:p>
        </w:tc>
        <w:tc>
          <w:tcPr>
            <w:tcW w:w="5375" w:type="dxa"/>
          </w:tcPr>
          <w:p w14:paraId="3C60DB30">
            <w:pPr>
              <w:rPr>
                <w:rFonts w:hint="default"/>
                <w:lang w:val="en-US" w:eastAsia="zh-CN"/>
              </w:rPr>
            </w:pPr>
            <w:r>
              <w:rPr>
                <w:rFonts w:hint="default"/>
                <w:lang w:val="en-US" w:eastAsia="zh-CN"/>
              </w:rPr>
              <w:t>具备针对海上娱乐项目可能出现的各类突发事件的应急预案，如恶劣天气、设备故障、人员伤亡等，预案流程清晰、责任明确、措施有效，且有定期演练计划，得 4 - 5 分；</w:t>
            </w:r>
          </w:p>
          <w:p w14:paraId="5C41297D">
            <w:pPr>
              <w:rPr>
                <w:rFonts w:hint="default"/>
                <w:lang w:val="en-US" w:eastAsia="zh-CN"/>
              </w:rPr>
            </w:pPr>
            <w:r>
              <w:rPr>
                <w:rFonts w:hint="default"/>
                <w:lang w:val="en-US" w:eastAsia="zh-CN"/>
              </w:rPr>
              <w:t>有应急预案，但不够全面或演练计划不明确，得 2 - 3 分；</w:t>
            </w:r>
          </w:p>
          <w:p w14:paraId="40B38813">
            <w:pPr>
              <w:rPr>
                <w:rFonts w:hint="default"/>
                <w:vertAlign w:val="baseline"/>
                <w:lang w:val="en-US" w:eastAsia="zh-CN"/>
              </w:rPr>
            </w:pPr>
            <w:r>
              <w:rPr>
                <w:rFonts w:hint="default"/>
                <w:lang w:val="en-US" w:eastAsia="zh-CN"/>
              </w:rPr>
              <w:t>应急预案内容简略，缺乏可操作性，得 1 分。</w:t>
            </w:r>
          </w:p>
        </w:tc>
      </w:tr>
      <w:tr w14:paraId="5314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1D37FDC4">
            <w:pPr>
              <w:rPr>
                <w:rFonts w:hint="default"/>
                <w:vertAlign w:val="baseline"/>
                <w:lang w:val="en-US" w:eastAsia="zh-CN"/>
              </w:rPr>
            </w:pPr>
            <w:r>
              <w:rPr>
                <w:rFonts w:hint="eastAsia"/>
                <w:vertAlign w:val="baseline"/>
                <w:lang w:val="en-US" w:eastAsia="zh-CN"/>
              </w:rPr>
              <w:t>3</w:t>
            </w:r>
          </w:p>
        </w:tc>
        <w:tc>
          <w:tcPr>
            <w:tcW w:w="837" w:type="dxa"/>
            <w:vMerge w:val="restart"/>
          </w:tcPr>
          <w:p w14:paraId="754BB6C5">
            <w:pPr>
              <w:rPr>
                <w:rFonts w:hint="default"/>
                <w:vertAlign w:val="baseline"/>
                <w:lang w:val="en-US" w:eastAsia="zh-CN"/>
              </w:rPr>
            </w:pPr>
            <w:r>
              <w:rPr>
                <w:rFonts w:hint="eastAsia"/>
                <w:vertAlign w:val="baseline"/>
                <w:lang w:val="en-US" w:eastAsia="zh-CN"/>
              </w:rPr>
              <w:t>建设经营方案（40分）</w:t>
            </w:r>
          </w:p>
        </w:tc>
        <w:tc>
          <w:tcPr>
            <w:tcW w:w="720" w:type="dxa"/>
          </w:tcPr>
          <w:p w14:paraId="50442523">
            <w:pPr>
              <w:rPr>
                <w:rFonts w:hint="default"/>
                <w:vertAlign w:val="baseline"/>
                <w:lang w:val="en-US" w:eastAsia="zh-CN"/>
              </w:rPr>
            </w:pPr>
            <w:r>
              <w:rPr>
                <w:rFonts w:hint="default"/>
                <w:lang w:val="en-US" w:eastAsia="zh-CN"/>
              </w:rPr>
              <w:t>项目建设规划</w:t>
            </w:r>
          </w:p>
        </w:tc>
        <w:tc>
          <w:tcPr>
            <w:tcW w:w="945" w:type="dxa"/>
          </w:tcPr>
          <w:p w14:paraId="711B5C18">
            <w:pPr>
              <w:rPr>
                <w:rFonts w:hint="default"/>
                <w:vertAlign w:val="baseline"/>
                <w:lang w:val="en-US" w:eastAsia="zh-CN"/>
              </w:rPr>
            </w:pPr>
            <w:r>
              <w:rPr>
                <w:rFonts w:hint="default"/>
                <w:lang w:val="en-US" w:eastAsia="zh-CN"/>
              </w:rPr>
              <w:t>10 分</w:t>
            </w:r>
          </w:p>
        </w:tc>
        <w:tc>
          <w:tcPr>
            <w:tcW w:w="5375" w:type="dxa"/>
          </w:tcPr>
          <w:p w14:paraId="07E0CB8B">
            <w:pPr>
              <w:rPr>
                <w:rFonts w:hint="default"/>
                <w:lang w:val="en-US" w:eastAsia="zh-CN"/>
              </w:rPr>
            </w:pPr>
            <w:r>
              <w:rPr>
                <w:rFonts w:hint="default"/>
                <w:lang w:val="en-US" w:eastAsia="zh-CN"/>
              </w:rPr>
              <w:t>对金沙滩海上娱乐项目建设进行详细、合理的规划，包括场地布局、设施选型、施工进度安排等，规划符合金沙滩整体环境和安全要求，得 8 - 10 分；</w:t>
            </w:r>
          </w:p>
          <w:p w14:paraId="1BBF321B">
            <w:pPr>
              <w:rPr>
                <w:rFonts w:hint="default"/>
                <w:lang w:val="en-US" w:eastAsia="zh-CN"/>
              </w:rPr>
            </w:pPr>
            <w:r>
              <w:rPr>
                <w:rFonts w:hint="default"/>
                <w:lang w:val="en-US" w:eastAsia="zh-CN"/>
              </w:rPr>
              <w:t>项目建设规划较合理，但存在一些细节问题或考虑不够周全，得 5 - 7 分；</w:t>
            </w:r>
          </w:p>
          <w:p w14:paraId="5397EF66">
            <w:pPr>
              <w:rPr>
                <w:rFonts w:hint="default"/>
                <w:vertAlign w:val="baseline"/>
                <w:lang w:val="en-US" w:eastAsia="zh-CN"/>
              </w:rPr>
            </w:pPr>
            <w:r>
              <w:rPr>
                <w:rFonts w:hint="default"/>
                <w:lang w:val="en-US" w:eastAsia="zh-CN"/>
              </w:rPr>
              <w:t>项目建设规划简单，缺乏具体内容和深度，得 1 - 4 分。</w:t>
            </w:r>
          </w:p>
        </w:tc>
      </w:tr>
      <w:tr w14:paraId="70F9F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3852638B">
            <w:pPr>
              <w:rPr>
                <w:rFonts w:hint="default"/>
                <w:vertAlign w:val="baseline"/>
                <w:lang w:val="en-US" w:eastAsia="zh-CN"/>
              </w:rPr>
            </w:pPr>
          </w:p>
        </w:tc>
        <w:tc>
          <w:tcPr>
            <w:tcW w:w="837" w:type="dxa"/>
            <w:vMerge w:val="continue"/>
          </w:tcPr>
          <w:p w14:paraId="2624C5E0">
            <w:pPr>
              <w:rPr>
                <w:rFonts w:hint="default"/>
                <w:vertAlign w:val="baseline"/>
                <w:lang w:val="en-US" w:eastAsia="zh-CN"/>
              </w:rPr>
            </w:pPr>
          </w:p>
        </w:tc>
        <w:tc>
          <w:tcPr>
            <w:tcW w:w="720" w:type="dxa"/>
          </w:tcPr>
          <w:p w14:paraId="1F292513">
            <w:pPr>
              <w:rPr>
                <w:rFonts w:hint="default"/>
                <w:vertAlign w:val="baseline"/>
                <w:lang w:val="en-US" w:eastAsia="zh-CN"/>
              </w:rPr>
            </w:pPr>
            <w:r>
              <w:rPr>
                <w:rFonts w:hint="default"/>
                <w:lang w:val="en-US" w:eastAsia="zh-CN"/>
              </w:rPr>
              <w:t>经营策略</w:t>
            </w:r>
          </w:p>
        </w:tc>
        <w:tc>
          <w:tcPr>
            <w:tcW w:w="945" w:type="dxa"/>
          </w:tcPr>
          <w:p w14:paraId="5159AC11">
            <w:pPr>
              <w:rPr>
                <w:rFonts w:hint="default"/>
                <w:vertAlign w:val="baseline"/>
                <w:lang w:val="en-US" w:eastAsia="zh-CN"/>
              </w:rPr>
            </w:pPr>
            <w:r>
              <w:rPr>
                <w:rFonts w:hint="default"/>
                <w:lang w:val="en-US" w:eastAsia="zh-CN"/>
              </w:rPr>
              <w:t>10 分</w:t>
            </w:r>
          </w:p>
        </w:tc>
        <w:tc>
          <w:tcPr>
            <w:tcW w:w="5375" w:type="dxa"/>
          </w:tcPr>
          <w:p w14:paraId="0323912C">
            <w:pPr>
              <w:rPr>
                <w:rFonts w:hint="default"/>
                <w:lang w:val="en-US" w:eastAsia="zh-CN"/>
              </w:rPr>
            </w:pPr>
            <w:r>
              <w:rPr>
                <w:rFonts w:hint="default"/>
                <w:lang w:val="en-US" w:eastAsia="zh-CN"/>
              </w:rPr>
              <w:t>提出具有创新性和市场竞争力的经营策略，包括项目定位、目标客户群体分析、营销推广计划、盈利模式等，经营策略具有较强的可行性和可持续性，得 8 - 10 分；</w:t>
            </w:r>
          </w:p>
          <w:p w14:paraId="3590B83C">
            <w:pPr>
              <w:rPr>
                <w:rFonts w:hint="default"/>
                <w:lang w:val="en-US" w:eastAsia="zh-CN"/>
              </w:rPr>
            </w:pPr>
            <w:r>
              <w:rPr>
                <w:rFonts w:hint="default"/>
                <w:lang w:val="en-US" w:eastAsia="zh-CN"/>
              </w:rPr>
              <w:t>经营策略合理，但创新性和市场竞争力一般，得 5 - 7 分；</w:t>
            </w:r>
          </w:p>
          <w:p w14:paraId="1528E0C2">
            <w:pPr>
              <w:rPr>
                <w:rFonts w:hint="default"/>
                <w:vertAlign w:val="baseline"/>
                <w:lang w:val="en-US" w:eastAsia="zh-CN"/>
              </w:rPr>
            </w:pPr>
            <w:r>
              <w:rPr>
                <w:rFonts w:hint="default"/>
                <w:lang w:val="en-US" w:eastAsia="zh-CN"/>
              </w:rPr>
              <w:t>经营策略缺乏明确思路和具体措施，得 1 - 4 分。</w:t>
            </w:r>
          </w:p>
        </w:tc>
      </w:tr>
      <w:tr w14:paraId="47EA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5D493624">
            <w:pPr>
              <w:rPr>
                <w:rFonts w:hint="default"/>
                <w:vertAlign w:val="baseline"/>
                <w:lang w:val="en-US" w:eastAsia="zh-CN"/>
              </w:rPr>
            </w:pPr>
          </w:p>
        </w:tc>
        <w:tc>
          <w:tcPr>
            <w:tcW w:w="837" w:type="dxa"/>
            <w:vMerge w:val="continue"/>
          </w:tcPr>
          <w:p w14:paraId="42639E81">
            <w:pPr>
              <w:rPr>
                <w:rFonts w:hint="default"/>
                <w:vertAlign w:val="baseline"/>
                <w:lang w:val="en-US" w:eastAsia="zh-CN"/>
              </w:rPr>
            </w:pPr>
          </w:p>
        </w:tc>
        <w:tc>
          <w:tcPr>
            <w:tcW w:w="720" w:type="dxa"/>
          </w:tcPr>
          <w:p w14:paraId="42CD70AB">
            <w:pPr>
              <w:rPr>
                <w:rFonts w:hint="default"/>
                <w:lang w:val="en-US" w:eastAsia="zh-CN"/>
              </w:rPr>
            </w:pPr>
            <w:r>
              <w:rPr>
                <w:rFonts w:hint="eastAsia"/>
                <w:lang w:val="en-US" w:eastAsia="zh-CN"/>
              </w:rPr>
              <w:t>投资规模</w:t>
            </w:r>
          </w:p>
        </w:tc>
        <w:tc>
          <w:tcPr>
            <w:tcW w:w="945" w:type="dxa"/>
          </w:tcPr>
          <w:p w14:paraId="762CF894">
            <w:pPr>
              <w:rPr>
                <w:rFonts w:hint="default"/>
                <w:lang w:val="en-US" w:eastAsia="zh-CN"/>
              </w:rPr>
            </w:pPr>
            <w:r>
              <w:rPr>
                <w:rFonts w:hint="eastAsia"/>
                <w:lang w:val="en-US" w:eastAsia="zh-CN"/>
              </w:rPr>
              <w:t>15分</w:t>
            </w:r>
          </w:p>
        </w:tc>
        <w:tc>
          <w:tcPr>
            <w:tcW w:w="5375" w:type="dxa"/>
          </w:tcPr>
          <w:p w14:paraId="7841FAEB">
            <w:pPr>
              <w:rPr>
                <w:rFonts w:hint="default"/>
                <w:lang w:val="en-US" w:eastAsia="zh-CN"/>
              </w:rPr>
            </w:pPr>
            <w:r>
              <w:rPr>
                <w:rFonts w:hint="eastAsia"/>
                <w:lang w:val="en-US" w:eastAsia="zh-CN"/>
              </w:rPr>
              <w:t>投资规模在1000</w:t>
            </w:r>
            <w:r>
              <w:rPr>
                <w:rFonts w:hint="default"/>
                <w:lang w:val="en-US" w:eastAsia="zh-CN"/>
              </w:rPr>
              <w:t>万元及以上的，得 5 分；</w:t>
            </w:r>
          </w:p>
          <w:p w14:paraId="73D37791">
            <w:pPr>
              <w:rPr>
                <w:rFonts w:hint="default"/>
                <w:lang w:val="en-US" w:eastAsia="zh-CN"/>
              </w:rPr>
            </w:pPr>
            <w:r>
              <w:rPr>
                <w:rFonts w:hint="default"/>
                <w:lang w:val="en-US" w:eastAsia="zh-CN"/>
              </w:rPr>
              <w:t>其他</w:t>
            </w:r>
            <w:r>
              <w:rPr>
                <w:rFonts w:hint="eastAsia"/>
                <w:lang w:val="en-US" w:eastAsia="zh-CN"/>
              </w:rPr>
              <w:t>意向合作单位</w:t>
            </w:r>
            <w:r>
              <w:rPr>
                <w:rFonts w:hint="default"/>
                <w:lang w:val="en-US" w:eastAsia="zh-CN"/>
              </w:rPr>
              <w:t>的价格分按照下列公式计算：得分 =（</w:t>
            </w:r>
            <w:r>
              <w:rPr>
                <w:rFonts w:hint="eastAsia"/>
                <w:lang w:val="en-US" w:eastAsia="zh-CN"/>
              </w:rPr>
              <w:t>投资规模/1000万</w:t>
            </w:r>
            <w:r>
              <w:rPr>
                <w:rFonts w:hint="default"/>
                <w:lang w:val="en-US" w:eastAsia="zh-CN"/>
              </w:rPr>
              <w:t xml:space="preserve">）× </w:t>
            </w:r>
            <w:r>
              <w:rPr>
                <w:rFonts w:hint="eastAsia"/>
                <w:lang w:val="en-US" w:eastAsia="zh-CN"/>
              </w:rPr>
              <w:t>10</w:t>
            </w:r>
            <w:r>
              <w:rPr>
                <w:rFonts w:hint="default"/>
                <w:lang w:val="en-US" w:eastAsia="zh-CN"/>
              </w:rPr>
              <w:t xml:space="preserve"> 。</w:t>
            </w:r>
          </w:p>
          <w:p w14:paraId="41E3BB25">
            <w:pPr>
              <w:rPr>
                <w:rFonts w:hint="default"/>
                <w:lang w:val="en-US" w:eastAsia="zh-CN"/>
              </w:rPr>
            </w:pPr>
            <w:r>
              <w:rPr>
                <w:rFonts w:hint="default"/>
                <w:lang w:val="en-US" w:eastAsia="zh-CN"/>
              </w:rPr>
              <w:t>注：需</w:t>
            </w:r>
            <w:r>
              <w:rPr>
                <w:rFonts w:hint="eastAsia"/>
                <w:lang w:val="en-US" w:eastAsia="zh-CN"/>
              </w:rPr>
              <w:t>在方案中写明投资规模，签署合同时方案将作为附件，后续应在一个年内完成承诺投入（有相应的采购合同或者发票等佐证材料），否则视为根本违约。</w:t>
            </w:r>
          </w:p>
        </w:tc>
      </w:tr>
      <w:tr w14:paraId="1480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2B8F5F77">
            <w:pPr>
              <w:rPr>
                <w:rFonts w:hint="default"/>
                <w:vertAlign w:val="baseline"/>
                <w:lang w:val="en-US" w:eastAsia="zh-CN"/>
              </w:rPr>
            </w:pPr>
          </w:p>
        </w:tc>
        <w:tc>
          <w:tcPr>
            <w:tcW w:w="837" w:type="dxa"/>
            <w:vMerge w:val="continue"/>
          </w:tcPr>
          <w:p w14:paraId="35ECF4B4">
            <w:pPr>
              <w:rPr>
                <w:rFonts w:hint="default"/>
                <w:vertAlign w:val="baseline"/>
                <w:lang w:val="en-US" w:eastAsia="zh-CN"/>
              </w:rPr>
            </w:pPr>
          </w:p>
        </w:tc>
        <w:tc>
          <w:tcPr>
            <w:tcW w:w="720" w:type="dxa"/>
          </w:tcPr>
          <w:p w14:paraId="7CB51767">
            <w:pPr>
              <w:jc w:val="center"/>
              <w:rPr>
                <w:rFonts w:hint="default"/>
                <w:vertAlign w:val="baseline"/>
                <w:lang w:val="en-US" w:eastAsia="zh-CN"/>
              </w:rPr>
            </w:pPr>
            <w:r>
              <w:rPr>
                <w:rFonts w:hint="default"/>
                <w:lang w:val="en-US" w:eastAsia="zh-CN"/>
              </w:rPr>
              <w:t>服务质量保障</w:t>
            </w:r>
          </w:p>
        </w:tc>
        <w:tc>
          <w:tcPr>
            <w:tcW w:w="945" w:type="dxa"/>
          </w:tcPr>
          <w:p w14:paraId="0ECBD650">
            <w:pPr>
              <w:rPr>
                <w:rFonts w:hint="default"/>
                <w:vertAlign w:val="baseline"/>
                <w:lang w:val="en-US" w:eastAsia="zh-CN"/>
              </w:rPr>
            </w:pPr>
            <w:r>
              <w:rPr>
                <w:rFonts w:hint="eastAsia"/>
                <w:lang w:val="en-US" w:eastAsia="zh-CN"/>
              </w:rPr>
              <w:t>5</w:t>
            </w:r>
            <w:r>
              <w:rPr>
                <w:rFonts w:hint="default"/>
                <w:lang w:val="en-US" w:eastAsia="zh-CN"/>
              </w:rPr>
              <w:t xml:space="preserve"> 分</w:t>
            </w:r>
          </w:p>
        </w:tc>
        <w:tc>
          <w:tcPr>
            <w:tcW w:w="5375" w:type="dxa"/>
          </w:tcPr>
          <w:p w14:paraId="256F2083">
            <w:pPr>
              <w:rPr>
                <w:rFonts w:hint="default"/>
                <w:lang w:val="en-US" w:eastAsia="zh-CN"/>
              </w:rPr>
            </w:pPr>
            <w:r>
              <w:rPr>
                <w:rFonts w:hint="default"/>
                <w:lang w:val="en-US" w:eastAsia="zh-CN"/>
              </w:rPr>
              <w:t>制定完善的服务质量保障体系，包括服务标准、人员培训、客户反馈处理机制等，能有效提升游客满意度，得 8 - 10 分；</w:t>
            </w:r>
          </w:p>
          <w:p w14:paraId="39230722">
            <w:pPr>
              <w:rPr>
                <w:rFonts w:hint="default"/>
                <w:lang w:val="en-US" w:eastAsia="zh-CN"/>
              </w:rPr>
            </w:pPr>
            <w:r>
              <w:rPr>
                <w:rFonts w:hint="default"/>
                <w:lang w:val="en-US" w:eastAsia="zh-CN"/>
              </w:rPr>
              <w:t>服务质量保障体系较完善，但存在一些薄弱环节，得 5 - 7 分；</w:t>
            </w:r>
          </w:p>
          <w:p w14:paraId="09D9CC44">
            <w:pPr>
              <w:rPr>
                <w:rFonts w:hint="default"/>
                <w:vertAlign w:val="baseline"/>
                <w:lang w:val="en-US" w:eastAsia="zh-CN"/>
              </w:rPr>
            </w:pPr>
            <w:r>
              <w:rPr>
                <w:rFonts w:hint="default"/>
                <w:lang w:val="en-US" w:eastAsia="zh-CN"/>
              </w:rPr>
              <w:t>服务质量保障体系不健全，缺乏具体措施，得 1 - 4 分。</w:t>
            </w:r>
          </w:p>
        </w:tc>
      </w:tr>
      <w:tr w14:paraId="481F5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13F1B56D">
            <w:pPr>
              <w:rPr>
                <w:rFonts w:hint="default"/>
                <w:vertAlign w:val="baseline"/>
                <w:lang w:val="en-US" w:eastAsia="zh-CN"/>
              </w:rPr>
            </w:pPr>
          </w:p>
        </w:tc>
        <w:tc>
          <w:tcPr>
            <w:tcW w:w="837" w:type="dxa"/>
            <w:vMerge w:val="restart"/>
          </w:tcPr>
          <w:p w14:paraId="6F36843B">
            <w:pPr>
              <w:rPr>
                <w:rFonts w:hint="default"/>
                <w:vertAlign w:val="baseline"/>
                <w:lang w:val="en-US" w:eastAsia="zh-CN"/>
              </w:rPr>
            </w:pPr>
            <w:r>
              <w:rPr>
                <w:rFonts w:hint="eastAsia"/>
                <w:vertAlign w:val="baseline"/>
                <w:lang w:val="en-US" w:eastAsia="zh-CN"/>
              </w:rPr>
              <w:t>商务条款（30分）</w:t>
            </w:r>
          </w:p>
        </w:tc>
        <w:tc>
          <w:tcPr>
            <w:tcW w:w="720" w:type="dxa"/>
          </w:tcPr>
          <w:p w14:paraId="3BA63DE3">
            <w:pPr>
              <w:jc w:val="center"/>
              <w:rPr>
                <w:rFonts w:hint="default"/>
                <w:vertAlign w:val="baseline"/>
                <w:lang w:val="en-US" w:eastAsia="zh-CN"/>
              </w:rPr>
            </w:pPr>
            <w:r>
              <w:rPr>
                <w:rFonts w:hint="eastAsia"/>
                <w:lang w:val="en-US" w:eastAsia="zh-CN"/>
              </w:rPr>
              <w:t>保底金额报价</w:t>
            </w:r>
          </w:p>
        </w:tc>
        <w:tc>
          <w:tcPr>
            <w:tcW w:w="945" w:type="dxa"/>
          </w:tcPr>
          <w:p w14:paraId="5B0C8646">
            <w:pPr>
              <w:rPr>
                <w:rFonts w:hint="default"/>
                <w:vertAlign w:val="baseline"/>
                <w:lang w:val="en-US" w:eastAsia="zh-CN"/>
              </w:rPr>
            </w:pPr>
            <w:r>
              <w:rPr>
                <w:rFonts w:hint="eastAsia"/>
                <w:lang w:val="en-US" w:eastAsia="zh-CN"/>
              </w:rPr>
              <w:t>15</w:t>
            </w:r>
            <w:r>
              <w:rPr>
                <w:rFonts w:hint="default"/>
                <w:lang w:val="en-US" w:eastAsia="zh-CN"/>
              </w:rPr>
              <w:t>分</w:t>
            </w:r>
          </w:p>
        </w:tc>
        <w:tc>
          <w:tcPr>
            <w:tcW w:w="5375" w:type="dxa"/>
          </w:tcPr>
          <w:p w14:paraId="1E5DDA05">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40万元</w:t>
            </w:r>
            <w:r>
              <w:rPr>
                <w:rFonts w:hint="default"/>
                <w:lang w:val="en-US" w:eastAsia="zh-CN"/>
              </w:rPr>
              <w:t>，其价格分为</w:t>
            </w:r>
            <w:r>
              <w:rPr>
                <w:rFonts w:hint="eastAsia"/>
                <w:lang w:val="en-US" w:eastAsia="zh-CN"/>
              </w:rPr>
              <w:t>5</w:t>
            </w:r>
            <w:r>
              <w:rPr>
                <w:rFonts w:hint="default"/>
                <w:lang w:val="en-US" w:eastAsia="zh-CN"/>
              </w:rPr>
              <w:t xml:space="preserve"> 分。</w:t>
            </w:r>
            <w:r>
              <w:rPr>
                <w:rFonts w:hint="eastAsia"/>
                <w:lang w:val="en-US" w:eastAsia="zh-CN"/>
              </w:rPr>
              <w:t>低于40万元不得分。超过100万元（含100万元）得满分15分。</w:t>
            </w:r>
          </w:p>
          <w:p w14:paraId="5CDE9A48">
            <w:pPr>
              <w:rPr>
                <w:rFonts w:hint="default"/>
                <w:vertAlign w:val="baseline"/>
                <w:lang w:val="en-US" w:eastAsia="zh-CN"/>
              </w:rPr>
            </w:pPr>
            <w:r>
              <w:rPr>
                <w:rFonts w:hint="default"/>
                <w:lang w:val="en-US" w:eastAsia="zh-CN"/>
              </w:rPr>
              <w:t>价格分按照下列公式计算：报价得分 =</w:t>
            </w:r>
            <w:r>
              <w:rPr>
                <w:rFonts w:hint="eastAsia"/>
                <w:lang w:val="en-US" w:eastAsia="zh-CN"/>
              </w:rPr>
              <w:t>5+</w:t>
            </w:r>
            <w:r>
              <w:rPr>
                <w:rFonts w:hint="default"/>
                <w:lang w:val="en-US" w:eastAsia="zh-CN"/>
              </w:rPr>
              <w:t>（</w:t>
            </w:r>
            <w:r>
              <w:rPr>
                <w:rFonts w:hint="eastAsia"/>
                <w:lang w:val="en-US" w:eastAsia="zh-CN"/>
              </w:rPr>
              <w:t>保底金额-40万</w:t>
            </w:r>
            <w:r>
              <w:rPr>
                <w:rFonts w:hint="default"/>
                <w:lang w:val="en-US" w:eastAsia="zh-CN"/>
              </w:rPr>
              <w:t xml:space="preserve"> / </w:t>
            </w:r>
            <w:r>
              <w:rPr>
                <w:rFonts w:hint="eastAsia"/>
                <w:lang w:val="en-US" w:eastAsia="zh-CN"/>
              </w:rPr>
              <w:t>40万</w:t>
            </w:r>
            <w:r>
              <w:rPr>
                <w:rFonts w:hint="default"/>
                <w:lang w:val="en-US" w:eastAsia="zh-CN"/>
              </w:rPr>
              <w:t xml:space="preserve">）× </w:t>
            </w:r>
            <w:r>
              <w:rPr>
                <w:rFonts w:hint="eastAsia"/>
                <w:lang w:val="en-US" w:eastAsia="zh-CN"/>
              </w:rPr>
              <w:t>10</w:t>
            </w:r>
            <w:r>
              <w:rPr>
                <w:rFonts w:hint="default"/>
                <w:lang w:val="en-US" w:eastAsia="zh-CN"/>
              </w:rPr>
              <w:t>。</w:t>
            </w:r>
          </w:p>
        </w:tc>
      </w:tr>
      <w:tr w14:paraId="257A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38D2D5B3">
            <w:pPr>
              <w:rPr>
                <w:rFonts w:hint="default"/>
                <w:vertAlign w:val="baseline"/>
                <w:lang w:val="en-US" w:eastAsia="zh-CN"/>
              </w:rPr>
            </w:pPr>
          </w:p>
        </w:tc>
        <w:tc>
          <w:tcPr>
            <w:tcW w:w="837" w:type="dxa"/>
            <w:vMerge w:val="continue"/>
          </w:tcPr>
          <w:p w14:paraId="3713CC17">
            <w:pPr>
              <w:rPr>
                <w:rFonts w:hint="eastAsia"/>
                <w:vertAlign w:val="baseline"/>
                <w:lang w:val="en-US" w:eastAsia="zh-CN"/>
              </w:rPr>
            </w:pPr>
          </w:p>
        </w:tc>
        <w:tc>
          <w:tcPr>
            <w:tcW w:w="720" w:type="dxa"/>
          </w:tcPr>
          <w:p w14:paraId="673453AF">
            <w:pPr>
              <w:rPr>
                <w:rFonts w:hint="default"/>
                <w:lang w:val="en-US" w:eastAsia="zh-CN"/>
              </w:rPr>
            </w:pPr>
            <w:r>
              <w:rPr>
                <w:rFonts w:hint="eastAsia"/>
                <w:lang w:val="en-US" w:eastAsia="zh-CN"/>
              </w:rPr>
              <w:t>分成比例</w:t>
            </w:r>
          </w:p>
        </w:tc>
        <w:tc>
          <w:tcPr>
            <w:tcW w:w="945" w:type="dxa"/>
          </w:tcPr>
          <w:p w14:paraId="74FEB2AA">
            <w:pPr>
              <w:rPr>
                <w:rFonts w:hint="default"/>
                <w:lang w:val="en-US" w:eastAsia="zh-CN"/>
              </w:rPr>
            </w:pPr>
            <w:r>
              <w:rPr>
                <w:rFonts w:hint="eastAsia"/>
                <w:lang w:val="en-US" w:eastAsia="zh-CN"/>
              </w:rPr>
              <w:t>15分</w:t>
            </w:r>
          </w:p>
        </w:tc>
        <w:tc>
          <w:tcPr>
            <w:tcW w:w="5375" w:type="dxa"/>
          </w:tcPr>
          <w:p w14:paraId="2F653F8C">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12%</w:t>
            </w:r>
            <w:r>
              <w:rPr>
                <w:rFonts w:hint="default"/>
                <w:lang w:val="en-US" w:eastAsia="zh-CN"/>
              </w:rPr>
              <w:t>，其价格分为</w:t>
            </w:r>
            <w:r>
              <w:rPr>
                <w:rFonts w:hint="eastAsia"/>
                <w:lang w:val="en-US" w:eastAsia="zh-CN"/>
              </w:rPr>
              <w:t>5</w:t>
            </w:r>
            <w:r>
              <w:rPr>
                <w:rFonts w:hint="default"/>
                <w:lang w:val="en-US" w:eastAsia="zh-CN"/>
              </w:rPr>
              <w:t>分。</w:t>
            </w:r>
            <w:r>
              <w:rPr>
                <w:rFonts w:hint="eastAsia"/>
                <w:lang w:val="en-US" w:eastAsia="zh-CN"/>
              </w:rPr>
              <w:t>低于12%不得分。超过30%得满分15分。</w:t>
            </w:r>
          </w:p>
          <w:p w14:paraId="47AA6D56">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5+</w:t>
            </w:r>
            <w:r>
              <w:rPr>
                <w:rFonts w:hint="default"/>
                <w:lang w:val="en-US" w:eastAsia="zh-CN"/>
              </w:rPr>
              <w:t>（</w:t>
            </w:r>
            <w:r>
              <w:rPr>
                <w:rFonts w:hint="eastAsia"/>
                <w:lang w:val="en-US" w:eastAsia="zh-CN"/>
              </w:rPr>
              <w:t>分成比例-15%</w:t>
            </w:r>
            <w:r>
              <w:rPr>
                <w:rFonts w:hint="default"/>
                <w:lang w:val="en-US" w:eastAsia="zh-CN"/>
              </w:rPr>
              <w:t xml:space="preserve">/ </w:t>
            </w:r>
            <w:r>
              <w:rPr>
                <w:rFonts w:hint="eastAsia"/>
                <w:lang w:val="en-US" w:eastAsia="zh-CN"/>
              </w:rPr>
              <w:t>15%</w:t>
            </w:r>
            <w:r>
              <w:rPr>
                <w:rFonts w:hint="default"/>
                <w:lang w:val="en-US" w:eastAsia="zh-CN"/>
              </w:rPr>
              <w:t xml:space="preserve">）× </w:t>
            </w:r>
            <w:r>
              <w:rPr>
                <w:rFonts w:hint="eastAsia"/>
                <w:lang w:val="en-US" w:eastAsia="zh-CN"/>
              </w:rPr>
              <w:t>10</w:t>
            </w:r>
            <w:r>
              <w:rPr>
                <w:rFonts w:hint="default"/>
                <w:lang w:val="en-US" w:eastAsia="zh-CN"/>
              </w:rPr>
              <w:t>。</w:t>
            </w:r>
          </w:p>
        </w:tc>
      </w:tr>
      <w:tr w14:paraId="0E4F3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4601563D">
            <w:pPr>
              <w:jc w:val="center"/>
              <w:rPr>
                <w:rFonts w:hint="default"/>
                <w:vertAlign w:val="baseline"/>
                <w:lang w:val="en-US" w:eastAsia="zh-CN"/>
              </w:rPr>
            </w:pPr>
            <w:r>
              <w:rPr>
                <w:rFonts w:hint="eastAsia"/>
                <w:vertAlign w:val="baseline"/>
                <w:lang w:val="en-US" w:eastAsia="zh-CN"/>
              </w:rPr>
              <w:t>总分100分</w:t>
            </w:r>
          </w:p>
        </w:tc>
      </w:tr>
    </w:tbl>
    <w:p w14:paraId="29927F65">
      <w:pPr>
        <w:rPr>
          <w:rFonts w:hint="default"/>
          <w:lang w:val="en-US" w:eastAsia="zh-CN"/>
        </w:rPr>
      </w:pPr>
    </w:p>
    <w:p w14:paraId="3319789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14:paraId="2349E63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14:paraId="4B1EF75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14:paraId="0E07BAB4">
      <w:pPr>
        <w:rPr>
          <w:rFonts w:hint="eastAsia" w:ascii="仿宋_GB2312" w:hAnsi="仿宋_GB2312" w:eastAsia="仿宋_GB2312" w:cs="仿宋_GB2312"/>
          <w:sz w:val="32"/>
          <w:szCs w:val="32"/>
          <w:lang w:val="en-US" w:eastAsia="zh-CN"/>
        </w:rPr>
      </w:pPr>
    </w:p>
    <w:p w14:paraId="04FBD976">
      <w:pPr>
        <w:rPr>
          <w:rFonts w:hint="eastAsia" w:ascii="仿宋_GB2312" w:hAnsi="仿宋_GB2312" w:eastAsia="仿宋_GB2312" w:cs="仿宋_GB2312"/>
          <w:sz w:val="32"/>
          <w:szCs w:val="32"/>
          <w:lang w:val="en-US" w:eastAsia="zh-CN"/>
        </w:rPr>
      </w:pPr>
    </w:p>
    <w:p w14:paraId="4C31D81E">
      <w:pPr>
        <w:rPr>
          <w:rFonts w:hint="eastAsia" w:ascii="仿宋_GB2312" w:hAnsi="仿宋_GB2312" w:eastAsia="仿宋_GB2312" w:cs="仿宋_GB2312"/>
          <w:sz w:val="32"/>
          <w:szCs w:val="32"/>
          <w:lang w:val="en-US" w:eastAsia="zh-CN"/>
        </w:rPr>
      </w:pPr>
    </w:p>
    <w:p w14:paraId="510759DE">
      <w:pPr>
        <w:rPr>
          <w:rFonts w:hint="eastAsia" w:ascii="仿宋_GB2312" w:hAnsi="仿宋_GB2312" w:eastAsia="仿宋_GB2312" w:cs="仿宋_GB2312"/>
          <w:sz w:val="32"/>
          <w:szCs w:val="32"/>
          <w:lang w:val="en-US" w:eastAsia="zh-CN"/>
        </w:rPr>
      </w:pPr>
    </w:p>
    <w:p w14:paraId="53E6BA1F">
      <w:pPr>
        <w:rPr>
          <w:rFonts w:hint="eastAsia" w:ascii="仿宋_GB2312" w:hAnsi="仿宋_GB2312" w:eastAsia="仿宋_GB2312" w:cs="仿宋_GB2312"/>
          <w:sz w:val="32"/>
          <w:szCs w:val="32"/>
          <w:lang w:val="en-US" w:eastAsia="zh-CN"/>
        </w:rPr>
      </w:pPr>
    </w:p>
    <w:p w14:paraId="42000FF3">
      <w:pPr>
        <w:rPr>
          <w:rFonts w:hint="eastAsia" w:ascii="仿宋_GB2312" w:hAnsi="仿宋_GB2312" w:eastAsia="仿宋_GB2312" w:cs="仿宋_GB2312"/>
          <w:sz w:val="32"/>
          <w:szCs w:val="32"/>
          <w:lang w:val="en-US" w:eastAsia="zh-CN"/>
        </w:rPr>
      </w:pPr>
    </w:p>
    <w:p w14:paraId="3681B787">
      <w:pPr>
        <w:rPr>
          <w:rFonts w:hint="eastAsia" w:ascii="仿宋_GB2312" w:hAnsi="仿宋_GB2312" w:eastAsia="仿宋_GB2312" w:cs="仿宋_GB2312"/>
          <w:sz w:val="32"/>
          <w:szCs w:val="32"/>
          <w:lang w:val="en-US" w:eastAsia="zh-CN"/>
        </w:rPr>
      </w:pPr>
    </w:p>
    <w:p w14:paraId="06CE8344">
      <w:pPr>
        <w:rPr>
          <w:rFonts w:hint="eastAsia" w:ascii="仿宋_GB2312" w:hAnsi="仿宋_GB2312" w:eastAsia="仿宋_GB2312" w:cs="仿宋_GB2312"/>
          <w:sz w:val="32"/>
          <w:szCs w:val="32"/>
          <w:lang w:val="en-US" w:eastAsia="zh-CN"/>
        </w:rPr>
      </w:pPr>
    </w:p>
    <w:p w14:paraId="3F98FDED">
      <w:pPr>
        <w:rPr>
          <w:rFonts w:hint="eastAsia" w:ascii="仿宋_GB2312" w:hAnsi="仿宋_GB2312" w:eastAsia="仿宋_GB2312" w:cs="仿宋_GB2312"/>
          <w:sz w:val="32"/>
          <w:szCs w:val="32"/>
          <w:lang w:val="en-US" w:eastAsia="zh-CN"/>
        </w:rPr>
      </w:pPr>
    </w:p>
    <w:p w14:paraId="3A25BAD7">
      <w:pPr>
        <w:rPr>
          <w:rFonts w:hint="eastAsia" w:ascii="仿宋_GB2312" w:hAnsi="仿宋_GB2312" w:eastAsia="仿宋_GB2312" w:cs="仿宋_GB2312"/>
          <w:sz w:val="32"/>
          <w:szCs w:val="32"/>
          <w:lang w:val="en-US" w:eastAsia="zh-CN"/>
        </w:rPr>
      </w:pPr>
    </w:p>
    <w:p w14:paraId="6F223958">
      <w:pPr>
        <w:rPr>
          <w:rFonts w:hint="eastAsia" w:ascii="仿宋_GB2312" w:hAnsi="仿宋_GB2312" w:eastAsia="仿宋_GB2312" w:cs="仿宋_GB2312"/>
          <w:sz w:val="32"/>
          <w:szCs w:val="32"/>
          <w:lang w:val="en-US" w:eastAsia="zh-CN"/>
        </w:rPr>
      </w:pPr>
    </w:p>
    <w:p w14:paraId="6233E524">
      <w:pPr>
        <w:rPr>
          <w:rFonts w:hint="eastAsia" w:ascii="仿宋_GB2312" w:hAnsi="仿宋_GB2312" w:eastAsia="仿宋_GB2312" w:cs="仿宋_GB2312"/>
          <w:sz w:val="32"/>
          <w:szCs w:val="32"/>
          <w:lang w:val="en-US" w:eastAsia="zh-CN"/>
        </w:rPr>
      </w:pPr>
    </w:p>
    <w:p w14:paraId="28099E25">
      <w:pPr>
        <w:rPr>
          <w:rFonts w:hint="eastAsia" w:ascii="仿宋_GB2312" w:hAnsi="仿宋_GB2312" w:eastAsia="仿宋_GB2312" w:cs="仿宋_GB2312"/>
          <w:sz w:val="32"/>
          <w:szCs w:val="32"/>
          <w:lang w:val="en-US" w:eastAsia="zh-CN"/>
        </w:rPr>
      </w:pPr>
    </w:p>
    <w:p w14:paraId="35DF3C3C">
      <w:pPr>
        <w:rPr>
          <w:rFonts w:hint="eastAsia" w:ascii="仿宋_GB2312" w:hAnsi="仿宋_GB2312" w:eastAsia="仿宋_GB2312" w:cs="仿宋_GB2312"/>
          <w:sz w:val="32"/>
          <w:szCs w:val="32"/>
          <w:lang w:val="en-US" w:eastAsia="zh-CN"/>
        </w:rPr>
      </w:pPr>
    </w:p>
    <w:p w14:paraId="0F0C25F1">
      <w:pPr>
        <w:rPr>
          <w:rFonts w:hint="eastAsia" w:ascii="仿宋_GB2312" w:hAnsi="仿宋_GB2312" w:eastAsia="仿宋_GB2312" w:cs="仿宋_GB2312"/>
          <w:sz w:val="32"/>
          <w:szCs w:val="32"/>
          <w:lang w:val="en-US" w:eastAsia="zh-CN"/>
        </w:rPr>
      </w:pPr>
    </w:p>
    <w:p w14:paraId="6009BA9F">
      <w:pPr>
        <w:rPr>
          <w:rFonts w:hint="eastAsia" w:ascii="黑体" w:hAnsi="黑体" w:eastAsia="黑体" w:cs="黑体"/>
          <w:sz w:val="22"/>
          <w:szCs w:val="22"/>
          <w:lang w:val="en-US" w:eastAsia="zh-CN"/>
        </w:rPr>
      </w:pPr>
    </w:p>
    <w:p w14:paraId="2BA3B979">
      <w:pPr>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附表2：</w:t>
      </w:r>
    </w:p>
    <w:p w14:paraId="770CBDF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沙滩集市项目评分标准</w:t>
      </w:r>
    </w:p>
    <w:p w14:paraId="6BD7E65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（综合评分法）</w:t>
      </w:r>
    </w:p>
    <w:p w14:paraId="4943871B">
      <w:pPr>
        <w:rPr>
          <w:rFonts w:hint="eastAsia" w:ascii="仿宋_GB2312" w:hAnsi="仿宋_GB2312" w:eastAsia="仿宋_GB2312" w:cs="仿宋_GB2312"/>
          <w:sz w:val="32"/>
          <w:szCs w:val="32"/>
          <w:lang w:val="en-US" w:eastAsia="zh-CN"/>
        </w:rPr>
      </w:pPr>
    </w:p>
    <w:p w14:paraId="782AF60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一、评分总则</w:t>
      </w:r>
    </w:p>
    <w:p w14:paraId="29E9BCA1">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本次招商采用综合评分法，满分100分。评分小组将根据各意向合作单位提交的正式文件，按照以下评分标准进行打分，得分最高的单位为项目合作候选人。</w:t>
      </w:r>
    </w:p>
    <w:p w14:paraId="2043EF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二、评分细则</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2"/>
        <w:gridCol w:w="837"/>
        <w:gridCol w:w="720"/>
        <w:gridCol w:w="945"/>
        <w:gridCol w:w="5375"/>
      </w:tblGrid>
      <w:tr w14:paraId="65AF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50685CC">
            <w:pPr>
              <w:rPr>
                <w:rFonts w:hint="default"/>
                <w:vertAlign w:val="baseline"/>
                <w:lang w:val="en-US" w:eastAsia="zh-CN"/>
              </w:rPr>
            </w:pPr>
            <w:r>
              <w:rPr>
                <w:rFonts w:hint="eastAsia"/>
                <w:vertAlign w:val="baseline"/>
                <w:lang w:val="en-US" w:eastAsia="zh-CN"/>
              </w:rPr>
              <w:t>序号</w:t>
            </w:r>
          </w:p>
        </w:tc>
        <w:tc>
          <w:tcPr>
            <w:tcW w:w="837" w:type="dxa"/>
          </w:tcPr>
          <w:p w14:paraId="285FA31C">
            <w:pPr>
              <w:rPr>
                <w:rFonts w:hint="eastAsia"/>
                <w:vertAlign w:val="baseline"/>
                <w:lang w:val="en-US" w:eastAsia="zh-CN"/>
              </w:rPr>
            </w:pPr>
            <w:r>
              <w:rPr>
                <w:rFonts w:hint="eastAsia"/>
                <w:vertAlign w:val="baseline"/>
                <w:lang w:val="en-US" w:eastAsia="zh-CN"/>
              </w:rPr>
              <w:t>评审</w:t>
            </w:r>
          </w:p>
          <w:p w14:paraId="4377F962">
            <w:pPr>
              <w:rPr>
                <w:rFonts w:hint="default"/>
                <w:vertAlign w:val="baseline"/>
                <w:lang w:val="en-US" w:eastAsia="zh-CN"/>
              </w:rPr>
            </w:pPr>
            <w:r>
              <w:rPr>
                <w:rFonts w:hint="eastAsia"/>
                <w:vertAlign w:val="baseline"/>
                <w:lang w:val="en-US" w:eastAsia="zh-CN"/>
              </w:rPr>
              <w:t>因素</w:t>
            </w:r>
          </w:p>
        </w:tc>
        <w:tc>
          <w:tcPr>
            <w:tcW w:w="720" w:type="dxa"/>
          </w:tcPr>
          <w:p w14:paraId="2EF8A9CE">
            <w:pPr>
              <w:rPr>
                <w:rFonts w:hint="eastAsia"/>
                <w:vertAlign w:val="baseline"/>
                <w:lang w:val="en-US" w:eastAsia="zh-CN"/>
              </w:rPr>
            </w:pPr>
            <w:r>
              <w:rPr>
                <w:rFonts w:hint="eastAsia"/>
                <w:vertAlign w:val="baseline"/>
                <w:lang w:val="en-US" w:eastAsia="zh-CN"/>
              </w:rPr>
              <w:t>评审</w:t>
            </w:r>
          </w:p>
          <w:p w14:paraId="35927AD5">
            <w:pPr>
              <w:rPr>
                <w:rFonts w:hint="default"/>
                <w:vertAlign w:val="baseline"/>
                <w:lang w:val="en-US" w:eastAsia="zh-CN"/>
              </w:rPr>
            </w:pPr>
            <w:r>
              <w:rPr>
                <w:rFonts w:hint="eastAsia"/>
                <w:vertAlign w:val="baseline"/>
                <w:lang w:val="en-US" w:eastAsia="zh-CN"/>
              </w:rPr>
              <w:t>内容</w:t>
            </w:r>
          </w:p>
        </w:tc>
        <w:tc>
          <w:tcPr>
            <w:tcW w:w="945" w:type="dxa"/>
          </w:tcPr>
          <w:p w14:paraId="55714E89">
            <w:pPr>
              <w:rPr>
                <w:rFonts w:hint="default"/>
                <w:vertAlign w:val="baseline"/>
                <w:lang w:val="en-US" w:eastAsia="zh-CN"/>
              </w:rPr>
            </w:pPr>
            <w:r>
              <w:rPr>
                <w:rFonts w:hint="eastAsia"/>
                <w:vertAlign w:val="baseline"/>
                <w:lang w:val="en-US" w:eastAsia="zh-CN"/>
              </w:rPr>
              <w:t>标准分</w:t>
            </w:r>
          </w:p>
        </w:tc>
        <w:tc>
          <w:tcPr>
            <w:tcW w:w="5375" w:type="dxa"/>
          </w:tcPr>
          <w:p w14:paraId="386B05D2">
            <w:pPr>
              <w:rPr>
                <w:rFonts w:hint="default"/>
                <w:vertAlign w:val="baseline"/>
                <w:lang w:val="en-US" w:eastAsia="zh-CN"/>
              </w:rPr>
            </w:pPr>
            <w:r>
              <w:rPr>
                <w:rFonts w:hint="eastAsia"/>
                <w:vertAlign w:val="baseline"/>
                <w:lang w:val="en-US" w:eastAsia="zh-CN"/>
              </w:rPr>
              <w:t>评分标准</w:t>
            </w:r>
          </w:p>
        </w:tc>
      </w:tr>
      <w:tr w14:paraId="51150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restart"/>
          </w:tcPr>
          <w:p w14:paraId="15C4FFBC">
            <w:pPr>
              <w:rPr>
                <w:rFonts w:hint="default"/>
                <w:vertAlign w:val="baseline"/>
                <w:lang w:val="en-US" w:eastAsia="zh-CN"/>
              </w:rPr>
            </w:pPr>
            <w:r>
              <w:rPr>
                <w:rFonts w:hint="eastAsia"/>
                <w:vertAlign w:val="baseline"/>
                <w:lang w:val="en-US" w:eastAsia="zh-CN"/>
              </w:rPr>
              <w:t>1</w:t>
            </w:r>
          </w:p>
        </w:tc>
        <w:tc>
          <w:tcPr>
            <w:tcW w:w="837" w:type="dxa"/>
            <w:vMerge w:val="restart"/>
          </w:tcPr>
          <w:p w14:paraId="4E31782D">
            <w:pPr>
              <w:rPr>
                <w:rFonts w:hint="default"/>
                <w:vertAlign w:val="baseline"/>
                <w:lang w:val="en-US" w:eastAsia="zh-CN"/>
              </w:rPr>
            </w:pPr>
            <w:r>
              <w:rPr>
                <w:rFonts w:hint="eastAsia"/>
                <w:vertAlign w:val="baseline"/>
                <w:lang w:val="en-US" w:eastAsia="zh-CN"/>
              </w:rPr>
              <w:t>企业资质（共30分）</w:t>
            </w:r>
          </w:p>
        </w:tc>
        <w:tc>
          <w:tcPr>
            <w:tcW w:w="720" w:type="dxa"/>
          </w:tcPr>
          <w:p w14:paraId="7C68DE5D">
            <w:pPr>
              <w:rPr>
                <w:rFonts w:hint="default"/>
                <w:vertAlign w:val="baseline"/>
                <w:lang w:val="en-US" w:eastAsia="zh-CN"/>
              </w:rPr>
            </w:pPr>
            <w:r>
              <w:rPr>
                <w:rFonts w:hint="eastAsia"/>
                <w:vertAlign w:val="baseline"/>
                <w:lang w:val="en-US" w:eastAsia="zh-CN"/>
              </w:rPr>
              <w:t>企业实缴资金</w:t>
            </w:r>
          </w:p>
        </w:tc>
        <w:tc>
          <w:tcPr>
            <w:tcW w:w="945" w:type="dxa"/>
          </w:tcPr>
          <w:p w14:paraId="7592B3BA">
            <w:pPr>
              <w:rPr>
                <w:rFonts w:hint="default"/>
                <w:vertAlign w:val="baseline"/>
                <w:lang w:val="en-US" w:eastAsia="zh-CN"/>
              </w:rPr>
            </w:pPr>
            <w:r>
              <w:rPr>
                <w:rFonts w:hint="eastAsia"/>
                <w:vertAlign w:val="baseline"/>
                <w:lang w:val="en-US" w:eastAsia="zh-CN"/>
              </w:rPr>
              <w:t>10分</w:t>
            </w:r>
          </w:p>
        </w:tc>
        <w:tc>
          <w:tcPr>
            <w:tcW w:w="5375" w:type="dxa"/>
          </w:tcPr>
          <w:p w14:paraId="67059533">
            <w:pPr>
              <w:rPr>
                <w:rFonts w:hint="default"/>
                <w:lang w:val="en-US" w:eastAsia="zh-CN"/>
              </w:rPr>
            </w:pPr>
            <w:r>
              <w:rPr>
                <w:rFonts w:hint="eastAsia"/>
                <w:lang w:val="en-US" w:eastAsia="zh-CN"/>
              </w:rPr>
              <w:t>企业实缴资</w:t>
            </w:r>
            <w:r>
              <w:rPr>
                <w:rFonts w:hint="default"/>
                <w:lang w:val="en-US" w:eastAsia="zh-CN"/>
              </w:rPr>
              <w:t xml:space="preserve">金在 </w:t>
            </w:r>
            <w:r>
              <w:rPr>
                <w:rFonts w:hint="eastAsia"/>
                <w:lang w:val="en-US" w:eastAsia="zh-CN"/>
              </w:rPr>
              <w:t>50</w:t>
            </w:r>
            <w:r>
              <w:rPr>
                <w:rFonts w:hint="default"/>
                <w:lang w:val="en-US" w:eastAsia="zh-CN"/>
              </w:rPr>
              <w:t xml:space="preserve">万元及以上的，得 </w:t>
            </w:r>
            <w:r>
              <w:rPr>
                <w:rFonts w:hint="eastAsia"/>
                <w:lang w:val="en-US" w:eastAsia="zh-CN"/>
              </w:rPr>
              <w:t>10</w:t>
            </w:r>
            <w:r>
              <w:rPr>
                <w:rFonts w:hint="default"/>
                <w:lang w:val="en-US" w:eastAsia="zh-CN"/>
              </w:rPr>
              <w:t>分；</w:t>
            </w:r>
          </w:p>
          <w:p w14:paraId="64CB3084">
            <w:pPr>
              <w:rPr>
                <w:rFonts w:hint="default"/>
                <w:lang w:val="en-US" w:eastAsia="zh-CN"/>
              </w:rPr>
            </w:pPr>
            <w:r>
              <w:rPr>
                <w:rFonts w:hint="default"/>
                <w:lang w:val="en-US" w:eastAsia="zh-CN"/>
              </w:rPr>
              <w:t>其</w:t>
            </w:r>
            <w:r>
              <w:rPr>
                <w:rFonts w:hint="eastAsia"/>
                <w:lang w:val="en-US" w:eastAsia="zh-CN"/>
              </w:rPr>
              <w:t>他情况</w:t>
            </w:r>
            <w:r>
              <w:rPr>
                <w:rFonts w:hint="default"/>
                <w:lang w:val="en-US" w:eastAsia="zh-CN"/>
              </w:rPr>
              <w:t>按照下列公式计算：得分 =（</w:t>
            </w:r>
            <w:r>
              <w:rPr>
                <w:rFonts w:hint="eastAsia"/>
                <w:lang w:val="en-US" w:eastAsia="zh-CN"/>
              </w:rPr>
              <w:t>意向合作单位实缴资金/50万</w:t>
            </w:r>
            <w:r>
              <w:rPr>
                <w:rFonts w:hint="default"/>
                <w:lang w:val="en-US" w:eastAsia="zh-CN"/>
              </w:rPr>
              <w:t xml:space="preserve">）× </w:t>
            </w:r>
            <w:r>
              <w:rPr>
                <w:rFonts w:hint="eastAsia"/>
                <w:lang w:val="en-US" w:eastAsia="zh-CN"/>
              </w:rPr>
              <w:t>10</w:t>
            </w:r>
            <w:r>
              <w:rPr>
                <w:rFonts w:hint="default"/>
                <w:lang w:val="en-US" w:eastAsia="zh-CN"/>
              </w:rPr>
              <w:t>。</w:t>
            </w:r>
          </w:p>
          <w:p w14:paraId="03F90940">
            <w:pPr>
              <w:rPr>
                <w:rFonts w:hint="default"/>
                <w:vertAlign w:val="baseline"/>
                <w:lang w:val="en-US" w:eastAsia="zh-CN"/>
              </w:rPr>
            </w:pPr>
            <w:r>
              <w:rPr>
                <w:rFonts w:hint="default"/>
                <w:lang w:val="en-US" w:eastAsia="zh-CN"/>
              </w:rPr>
              <w:t>注：需提供营业执照副本复印件及相关证明材料，以证明其</w:t>
            </w:r>
            <w:r>
              <w:rPr>
                <w:rFonts w:hint="eastAsia"/>
                <w:lang w:val="en-US" w:eastAsia="zh-CN"/>
              </w:rPr>
              <w:t>实缴资</w:t>
            </w:r>
            <w:r>
              <w:rPr>
                <w:rFonts w:hint="default"/>
                <w:lang w:val="en-US" w:eastAsia="zh-CN"/>
              </w:rPr>
              <w:t>金情况。</w:t>
            </w:r>
          </w:p>
        </w:tc>
      </w:tr>
      <w:tr w14:paraId="6E0C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vMerge w:val="continue"/>
          </w:tcPr>
          <w:p w14:paraId="04AE9BF7">
            <w:pPr>
              <w:rPr>
                <w:rFonts w:hint="default"/>
                <w:vertAlign w:val="baseline"/>
                <w:lang w:val="en-US" w:eastAsia="zh-CN"/>
              </w:rPr>
            </w:pPr>
          </w:p>
        </w:tc>
        <w:tc>
          <w:tcPr>
            <w:tcW w:w="837" w:type="dxa"/>
            <w:vMerge w:val="continue"/>
          </w:tcPr>
          <w:p w14:paraId="6A0DF2F7">
            <w:pPr>
              <w:rPr>
                <w:rFonts w:hint="default"/>
                <w:vertAlign w:val="baseline"/>
                <w:lang w:val="en-US" w:eastAsia="zh-CN"/>
              </w:rPr>
            </w:pPr>
          </w:p>
        </w:tc>
        <w:tc>
          <w:tcPr>
            <w:tcW w:w="720" w:type="dxa"/>
          </w:tcPr>
          <w:p w14:paraId="7E47DE62">
            <w:pPr>
              <w:rPr>
                <w:rFonts w:hint="default"/>
                <w:vertAlign w:val="baseline"/>
                <w:lang w:val="en-US" w:eastAsia="zh-CN"/>
              </w:rPr>
            </w:pPr>
            <w:r>
              <w:rPr>
                <w:rFonts w:hint="eastAsia"/>
                <w:vertAlign w:val="baseline"/>
                <w:lang w:val="en-US" w:eastAsia="zh-CN"/>
              </w:rPr>
              <w:t>过往案例</w:t>
            </w:r>
          </w:p>
        </w:tc>
        <w:tc>
          <w:tcPr>
            <w:tcW w:w="945" w:type="dxa"/>
          </w:tcPr>
          <w:p w14:paraId="0331EBCD">
            <w:pPr>
              <w:rPr>
                <w:rFonts w:hint="default"/>
                <w:vertAlign w:val="baseline"/>
                <w:lang w:val="en-US" w:eastAsia="zh-CN"/>
              </w:rPr>
            </w:pPr>
            <w:r>
              <w:rPr>
                <w:rFonts w:hint="eastAsia"/>
                <w:vertAlign w:val="baseline"/>
                <w:lang w:val="en-US" w:eastAsia="zh-CN"/>
              </w:rPr>
              <w:t>20分</w:t>
            </w:r>
          </w:p>
        </w:tc>
        <w:tc>
          <w:tcPr>
            <w:tcW w:w="5375" w:type="dxa"/>
          </w:tcPr>
          <w:p w14:paraId="3DBBC406">
            <w:pPr>
              <w:rPr>
                <w:rFonts w:hint="default"/>
                <w:lang w:val="en-US" w:eastAsia="zh-CN"/>
              </w:rPr>
            </w:pPr>
            <w:r>
              <w:rPr>
                <w:rFonts w:hint="eastAsia"/>
                <w:lang w:val="en-US" w:eastAsia="zh-CN"/>
              </w:rPr>
              <w:t>2020年至今经营</w:t>
            </w:r>
            <w:r>
              <w:rPr>
                <w:rFonts w:hint="default"/>
                <w:lang w:val="en-US" w:eastAsia="zh-CN"/>
              </w:rPr>
              <w:t>至少</w:t>
            </w:r>
            <w:r>
              <w:rPr>
                <w:rFonts w:hint="eastAsia"/>
                <w:lang w:val="en-US" w:eastAsia="zh-CN"/>
              </w:rPr>
              <w:t>3</w:t>
            </w:r>
            <w:r>
              <w:rPr>
                <w:rFonts w:hint="default"/>
                <w:lang w:val="en-US" w:eastAsia="zh-CN"/>
              </w:rPr>
              <w:t>个</w:t>
            </w:r>
            <w:r>
              <w:rPr>
                <w:rFonts w:hint="eastAsia"/>
                <w:lang w:val="en-US" w:eastAsia="zh-CN"/>
              </w:rPr>
              <w:t>规模性（超过20个摊位/车辆）市集活动</w:t>
            </w:r>
            <w:r>
              <w:rPr>
                <w:rFonts w:hint="default"/>
                <w:lang w:val="en-US" w:eastAsia="zh-CN"/>
              </w:rPr>
              <w:t>项目，得</w:t>
            </w:r>
            <w:r>
              <w:rPr>
                <w:rFonts w:hint="eastAsia"/>
                <w:lang w:val="en-US" w:eastAsia="zh-CN"/>
              </w:rPr>
              <w:t>15</w:t>
            </w:r>
            <w:r>
              <w:rPr>
                <w:rFonts w:hint="default"/>
                <w:lang w:val="en-US" w:eastAsia="zh-CN"/>
              </w:rPr>
              <w:t>分；</w:t>
            </w:r>
          </w:p>
          <w:p w14:paraId="0023C01D">
            <w:pPr>
              <w:rPr>
                <w:rFonts w:hint="default"/>
                <w:lang w:val="en-US" w:eastAsia="zh-CN"/>
              </w:rPr>
            </w:pPr>
            <w:r>
              <w:rPr>
                <w:rFonts w:hint="default"/>
                <w:lang w:val="en-US" w:eastAsia="zh-CN"/>
              </w:rPr>
              <w:t>有2个</w:t>
            </w:r>
            <w:r>
              <w:rPr>
                <w:rFonts w:hint="eastAsia"/>
                <w:lang w:val="en-US" w:eastAsia="zh-CN"/>
              </w:rPr>
              <w:t>项目</w:t>
            </w:r>
            <w:r>
              <w:rPr>
                <w:rFonts w:hint="default"/>
                <w:lang w:val="en-US" w:eastAsia="zh-CN"/>
              </w:rPr>
              <w:t>的，得</w:t>
            </w:r>
            <w:r>
              <w:rPr>
                <w:rFonts w:hint="eastAsia"/>
                <w:lang w:val="en-US" w:eastAsia="zh-CN"/>
              </w:rPr>
              <w:t>10</w:t>
            </w:r>
            <w:r>
              <w:rPr>
                <w:rFonts w:hint="default"/>
                <w:lang w:val="en-US" w:eastAsia="zh-CN"/>
              </w:rPr>
              <w:t>分；</w:t>
            </w:r>
          </w:p>
          <w:p w14:paraId="120D3085">
            <w:pPr>
              <w:rPr>
                <w:rFonts w:hint="default"/>
                <w:lang w:val="en-US" w:eastAsia="zh-CN"/>
              </w:rPr>
            </w:pPr>
            <w:r>
              <w:rPr>
                <w:rFonts w:hint="default"/>
                <w:lang w:val="en-US" w:eastAsia="zh-CN"/>
              </w:rPr>
              <w:t>有1个</w:t>
            </w:r>
            <w:r>
              <w:rPr>
                <w:rFonts w:hint="eastAsia"/>
                <w:lang w:val="en-US" w:eastAsia="zh-CN"/>
              </w:rPr>
              <w:t>项目</w:t>
            </w:r>
            <w:r>
              <w:rPr>
                <w:rFonts w:hint="default"/>
                <w:lang w:val="en-US" w:eastAsia="zh-CN"/>
              </w:rPr>
              <w:t>的，得</w:t>
            </w:r>
            <w:r>
              <w:rPr>
                <w:rFonts w:hint="eastAsia"/>
                <w:lang w:val="en-US" w:eastAsia="zh-CN"/>
              </w:rPr>
              <w:t>5</w:t>
            </w:r>
            <w:r>
              <w:rPr>
                <w:rFonts w:hint="default"/>
                <w:lang w:val="en-US" w:eastAsia="zh-CN"/>
              </w:rPr>
              <w:t>分；</w:t>
            </w:r>
          </w:p>
          <w:p w14:paraId="725A84FC">
            <w:pPr>
              <w:rPr>
                <w:rFonts w:hint="default"/>
                <w:lang w:val="en-US" w:eastAsia="zh-CN"/>
              </w:rPr>
            </w:pPr>
            <w:r>
              <w:rPr>
                <w:rFonts w:hint="default"/>
                <w:lang w:val="en-US" w:eastAsia="zh-CN"/>
              </w:rPr>
              <w:t>无相关</w:t>
            </w:r>
            <w:r>
              <w:rPr>
                <w:rFonts w:hint="eastAsia"/>
                <w:lang w:val="en-US" w:eastAsia="zh-CN"/>
              </w:rPr>
              <w:t>项目经验</w:t>
            </w:r>
            <w:r>
              <w:rPr>
                <w:rFonts w:hint="default"/>
                <w:lang w:val="en-US" w:eastAsia="zh-CN"/>
              </w:rPr>
              <w:t>的，得0分。</w:t>
            </w:r>
          </w:p>
          <w:p w14:paraId="6C135D94">
            <w:pPr>
              <w:rPr>
                <w:rFonts w:hint="default"/>
                <w:vertAlign w:val="baseline"/>
                <w:lang w:val="en-US" w:eastAsia="zh-CN"/>
              </w:rPr>
            </w:pPr>
            <w:r>
              <w:rPr>
                <w:rFonts w:hint="default"/>
                <w:lang w:val="en-US" w:eastAsia="zh-CN"/>
              </w:rPr>
              <w:t>注：需提供合同复印件（包含合同首页、服务内容页、合同金额页、签字盖章页）等证明材料，原件备查。</w:t>
            </w:r>
          </w:p>
        </w:tc>
      </w:tr>
      <w:tr w14:paraId="74F61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643D2345">
            <w:pPr>
              <w:rPr>
                <w:rFonts w:hint="default"/>
                <w:vertAlign w:val="baseline"/>
                <w:lang w:val="en-US" w:eastAsia="zh-CN"/>
              </w:rPr>
            </w:pPr>
            <w:r>
              <w:rPr>
                <w:rFonts w:hint="eastAsia"/>
                <w:vertAlign w:val="baseline"/>
                <w:lang w:val="en-US" w:eastAsia="zh-CN"/>
              </w:rPr>
              <w:t>2</w:t>
            </w:r>
          </w:p>
        </w:tc>
        <w:tc>
          <w:tcPr>
            <w:tcW w:w="837" w:type="dxa"/>
          </w:tcPr>
          <w:p w14:paraId="6E85E7B6">
            <w:pPr>
              <w:rPr>
                <w:rFonts w:hint="default"/>
                <w:vertAlign w:val="baseline"/>
                <w:lang w:val="en-US" w:eastAsia="zh-CN"/>
              </w:rPr>
            </w:pPr>
            <w:r>
              <w:rPr>
                <w:rFonts w:hint="eastAsia"/>
                <w:vertAlign w:val="baseline"/>
                <w:lang w:val="en-US" w:eastAsia="zh-CN"/>
              </w:rPr>
              <w:t>食品安全管理（10分）</w:t>
            </w:r>
          </w:p>
        </w:tc>
        <w:tc>
          <w:tcPr>
            <w:tcW w:w="720" w:type="dxa"/>
          </w:tcPr>
          <w:p w14:paraId="7F5D0E74">
            <w:pPr>
              <w:rPr>
                <w:rFonts w:hint="default"/>
                <w:vertAlign w:val="baseline"/>
                <w:lang w:val="en-US" w:eastAsia="zh-CN"/>
              </w:rPr>
            </w:pPr>
            <w:r>
              <w:rPr>
                <w:rFonts w:hint="eastAsia"/>
                <w:vertAlign w:val="baseline"/>
                <w:lang w:val="en-US" w:eastAsia="zh-CN"/>
              </w:rPr>
              <w:t>食品安全管理制度</w:t>
            </w:r>
          </w:p>
        </w:tc>
        <w:tc>
          <w:tcPr>
            <w:tcW w:w="945" w:type="dxa"/>
          </w:tcPr>
          <w:p w14:paraId="73B43ECF">
            <w:pPr>
              <w:rPr>
                <w:rFonts w:hint="default"/>
                <w:vertAlign w:val="baseline"/>
                <w:lang w:val="en-US" w:eastAsia="zh-CN"/>
              </w:rPr>
            </w:pPr>
            <w:r>
              <w:rPr>
                <w:rFonts w:hint="eastAsia"/>
                <w:vertAlign w:val="baseline"/>
                <w:lang w:val="en-US" w:eastAsia="zh-CN"/>
              </w:rPr>
              <w:t>10分</w:t>
            </w:r>
          </w:p>
        </w:tc>
        <w:tc>
          <w:tcPr>
            <w:tcW w:w="5375" w:type="dxa"/>
          </w:tcPr>
          <w:p w14:paraId="17FF08F4">
            <w:pPr>
              <w:rPr>
                <w:rFonts w:hint="default"/>
                <w:lang w:val="en-US" w:eastAsia="zh-CN"/>
              </w:rPr>
            </w:pPr>
            <w:r>
              <w:rPr>
                <w:rFonts w:hint="default"/>
                <w:lang w:val="en-US" w:eastAsia="zh-CN"/>
              </w:rPr>
              <w:t>提供完善的</w:t>
            </w:r>
            <w:r>
              <w:rPr>
                <w:rFonts w:hint="eastAsia"/>
                <w:lang w:val="en-US" w:eastAsia="zh-CN"/>
              </w:rPr>
              <w:t>食品安全</w:t>
            </w:r>
            <w:r>
              <w:rPr>
                <w:rFonts w:hint="default"/>
                <w:lang w:val="en-US" w:eastAsia="zh-CN"/>
              </w:rPr>
              <w:t>管理制度，涵盖</w:t>
            </w:r>
            <w:r>
              <w:rPr>
                <w:rFonts w:hint="eastAsia"/>
                <w:lang w:val="en-US" w:eastAsia="zh-CN"/>
              </w:rPr>
              <w:t>人员资质管理、食品留样抽检</w:t>
            </w:r>
            <w:r>
              <w:rPr>
                <w:rFonts w:hint="default"/>
                <w:lang w:val="en-US" w:eastAsia="zh-CN"/>
              </w:rPr>
              <w:t>等内容，且制度具有可操作性和针对性，得 4 - 5 分；</w:t>
            </w:r>
          </w:p>
          <w:p w14:paraId="4F4FD791">
            <w:pPr>
              <w:rPr>
                <w:rFonts w:hint="default"/>
                <w:lang w:val="en-US" w:eastAsia="zh-CN"/>
              </w:rPr>
            </w:pPr>
            <w:r>
              <w:rPr>
                <w:rFonts w:hint="default"/>
                <w:lang w:val="en-US" w:eastAsia="zh-CN"/>
              </w:rPr>
              <w:t>制度较完善，但存在部分内容缺失或不够细化，得 2 - 3 分；</w:t>
            </w:r>
          </w:p>
          <w:p w14:paraId="2D8D57A3">
            <w:pPr>
              <w:rPr>
                <w:rFonts w:hint="default"/>
                <w:vertAlign w:val="baseline"/>
                <w:lang w:val="en-US" w:eastAsia="zh-CN"/>
              </w:rPr>
            </w:pPr>
            <w:r>
              <w:rPr>
                <w:rFonts w:hint="default"/>
                <w:lang w:val="en-US" w:eastAsia="zh-CN"/>
              </w:rPr>
              <w:t>制度基本框架存在，但内容简单、粗糙，得 1 分。</w:t>
            </w:r>
          </w:p>
        </w:tc>
      </w:tr>
      <w:tr w14:paraId="6B2CC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3EC1AC75">
            <w:pPr>
              <w:rPr>
                <w:rFonts w:hint="default"/>
                <w:vertAlign w:val="baseline"/>
                <w:lang w:val="en-US" w:eastAsia="zh-CN"/>
              </w:rPr>
            </w:pPr>
            <w:r>
              <w:rPr>
                <w:rFonts w:hint="eastAsia"/>
                <w:vertAlign w:val="baseline"/>
                <w:lang w:val="en-US" w:eastAsia="zh-CN"/>
              </w:rPr>
              <w:t>3</w:t>
            </w:r>
          </w:p>
        </w:tc>
        <w:tc>
          <w:tcPr>
            <w:tcW w:w="837" w:type="dxa"/>
          </w:tcPr>
          <w:p w14:paraId="32DA1B05">
            <w:pPr>
              <w:rPr>
                <w:rFonts w:hint="default"/>
                <w:vertAlign w:val="baseline"/>
                <w:lang w:val="en-US" w:eastAsia="zh-CN"/>
              </w:rPr>
            </w:pPr>
            <w:r>
              <w:rPr>
                <w:rFonts w:hint="eastAsia"/>
                <w:vertAlign w:val="baseline"/>
                <w:lang w:val="en-US" w:eastAsia="zh-CN"/>
              </w:rPr>
              <w:t>经营方案（20分）</w:t>
            </w:r>
          </w:p>
        </w:tc>
        <w:tc>
          <w:tcPr>
            <w:tcW w:w="720" w:type="dxa"/>
          </w:tcPr>
          <w:p w14:paraId="5F02DD68">
            <w:pPr>
              <w:rPr>
                <w:rFonts w:hint="default"/>
                <w:vertAlign w:val="baseline"/>
                <w:lang w:val="en-US" w:eastAsia="zh-CN"/>
              </w:rPr>
            </w:pPr>
            <w:r>
              <w:rPr>
                <w:rFonts w:hint="default"/>
                <w:lang w:val="en-US" w:eastAsia="zh-CN"/>
              </w:rPr>
              <w:t>项目</w:t>
            </w:r>
            <w:r>
              <w:rPr>
                <w:rFonts w:hint="eastAsia"/>
                <w:lang w:val="en-US" w:eastAsia="zh-CN"/>
              </w:rPr>
              <w:t>经营</w:t>
            </w:r>
            <w:r>
              <w:rPr>
                <w:rFonts w:hint="default"/>
                <w:lang w:val="en-US" w:eastAsia="zh-CN"/>
              </w:rPr>
              <w:t>规划</w:t>
            </w:r>
          </w:p>
        </w:tc>
        <w:tc>
          <w:tcPr>
            <w:tcW w:w="945" w:type="dxa"/>
          </w:tcPr>
          <w:p w14:paraId="5409991D">
            <w:pPr>
              <w:rPr>
                <w:rFonts w:hint="default"/>
                <w:vertAlign w:val="baseline"/>
                <w:lang w:val="en-US" w:eastAsia="zh-CN"/>
              </w:rPr>
            </w:pPr>
            <w:r>
              <w:rPr>
                <w:rFonts w:hint="eastAsia"/>
                <w:lang w:val="en-US" w:eastAsia="zh-CN"/>
              </w:rPr>
              <w:t>20</w:t>
            </w:r>
            <w:r>
              <w:rPr>
                <w:rFonts w:hint="default"/>
                <w:lang w:val="en-US" w:eastAsia="zh-CN"/>
              </w:rPr>
              <w:t xml:space="preserve"> 分</w:t>
            </w:r>
          </w:p>
        </w:tc>
        <w:tc>
          <w:tcPr>
            <w:tcW w:w="5375" w:type="dxa"/>
          </w:tcPr>
          <w:p w14:paraId="2C96D43C">
            <w:pPr>
              <w:rPr>
                <w:rFonts w:hint="default"/>
                <w:lang w:val="en-US" w:eastAsia="zh-CN"/>
              </w:rPr>
            </w:pPr>
            <w:r>
              <w:rPr>
                <w:rFonts w:hint="default"/>
                <w:lang w:val="en-US" w:eastAsia="zh-CN"/>
              </w:rPr>
              <w:t>对</w:t>
            </w:r>
            <w:r>
              <w:rPr>
                <w:rFonts w:hint="eastAsia"/>
                <w:lang w:val="en-US" w:eastAsia="zh-CN"/>
              </w:rPr>
              <w:t>沙滩集市</w:t>
            </w:r>
            <w:r>
              <w:rPr>
                <w:rFonts w:hint="default"/>
                <w:lang w:val="en-US" w:eastAsia="zh-CN"/>
              </w:rPr>
              <w:t>项目进行详细、合理的规划，包括场地布局、</w:t>
            </w:r>
            <w:r>
              <w:rPr>
                <w:rFonts w:hint="eastAsia"/>
                <w:lang w:val="en-US" w:eastAsia="zh-CN"/>
              </w:rPr>
              <w:t>产品选择</w:t>
            </w:r>
            <w:r>
              <w:rPr>
                <w:rFonts w:hint="default"/>
                <w:lang w:val="en-US" w:eastAsia="zh-CN"/>
              </w:rPr>
              <w:t>、</w:t>
            </w:r>
            <w:r>
              <w:rPr>
                <w:rFonts w:hint="eastAsia"/>
                <w:lang w:val="en-US" w:eastAsia="zh-CN"/>
              </w:rPr>
              <w:t>集市外观效果</w:t>
            </w:r>
            <w:r>
              <w:rPr>
                <w:rFonts w:hint="default"/>
                <w:lang w:val="en-US" w:eastAsia="zh-CN"/>
              </w:rPr>
              <w:t>等，规划符合金沙滩整体环境和安全要求，得</w:t>
            </w:r>
            <w:r>
              <w:rPr>
                <w:rFonts w:hint="eastAsia"/>
                <w:lang w:val="en-US" w:eastAsia="zh-CN"/>
              </w:rPr>
              <w:t>15-20</w:t>
            </w:r>
            <w:r>
              <w:rPr>
                <w:rFonts w:hint="default"/>
                <w:lang w:val="en-US" w:eastAsia="zh-CN"/>
              </w:rPr>
              <w:t>分；</w:t>
            </w:r>
          </w:p>
          <w:p w14:paraId="3EC3C88D">
            <w:pPr>
              <w:rPr>
                <w:rFonts w:hint="default"/>
                <w:lang w:val="en-US" w:eastAsia="zh-CN"/>
              </w:rPr>
            </w:pPr>
            <w:r>
              <w:rPr>
                <w:rFonts w:hint="default"/>
                <w:lang w:val="en-US" w:eastAsia="zh-CN"/>
              </w:rPr>
              <w:t xml:space="preserve">项目规划较合理，但存在一些细节问题或考虑不够周全，得 </w:t>
            </w:r>
            <w:r>
              <w:rPr>
                <w:rFonts w:hint="eastAsia"/>
                <w:lang w:val="en-US" w:eastAsia="zh-CN"/>
              </w:rPr>
              <w:t>10-15</w:t>
            </w:r>
            <w:r>
              <w:rPr>
                <w:rFonts w:hint="default"/>
                <w:lang w:val="en-US" w:eastAsia="zh-CN"/>
              </w:rPr>
              <w:t xml:space="preserve"> 分；</w:t>
            </w:r>
          </w:p>
          <w:p w14:paraId="11F99D30">
            <w:pPr>
              <w:rPr>
                <w:rFonts w:hint="default"/>
                <w:vertAlign w:val="baseline"/>
                <w:lang w:val="en-US" w:eastAsia="zh-CN"/>
              </w:rPr>
            </w:pPr>
            <w:r>
              <w:rPr>
                <w:rFonts w:hint="default"/>
                <w:lang w:val="en-US" w:eastAsia="zh-CN"/>
              </w:rPr>
              <w:t xml:space="preserve">项目规划简单，缺乏具体内容和深度，得 </w:t>
            </w:r>
            <w:r>
              <w:rPr>
                <w:rFonts w:hint="eastAsia"/>
                <w:lang w:val="en-US" w:eastAsia="zh-CN"/>
              </w:rPr>
              <w:t>1-10</w:t>
            </w:r>
            <w:r>
              <w:rPr>
                <w:rFonts w:hint="default"/>
                <w:lang w:val="en-US" w:eastAsia="zh-CN"/>
              </w:rPr>
              <w:t>分。</w:t>
            </w:r>
          </w:p>
        </w:tc>
      </w:tr>
      <w:tr w14:paraId="3B9E9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47A316E9">
            <w:pPr>
              <w:rPr>
                <w:rFonts w:hint="default"/>
                <w:vertAlign w:val="baseline"/>
                <w:lang w:val="en-US" w:eastAsia="zh-CN"/>
              </w:rPr>
            </w:pPr>
          </w:p>
        </w:tc>
        <w:tc>
          <w:tcPr>
            <w:tcW w:w="837" w:type="dxa"/>
            <w:vMerge w:val="restart"/>
          </w:tcPr>
          <w:p w14:paraId="2BA5C10C">
            <w:pPr>
              <w:rPr>
                <w:rFonts w:hint="default"/>
                <w:vertAlign w:val="baseline"/>
                <w:lang w:val="en-US" w:eastAsia="zh-CN"/>
              </w:rPr>
            </w:pPr>
            <w:r>
              <w:rPr>
                <w:rFonts w:hint="eastAsia"/>
                <w:vertAlign w:val="baseline"/>
                <w:lang w:val="en-US" w:eastAsia="zh-CN"/>
              </w:rPr>
              <w:t>商务条款（40分）</w:t>
            </w:r>
          </w:p>
        </w:tc>
        <w:tc>
          <w:tcPr>
            <w:tcW w:w="720" w:type="dxa"/>
          </w:tcPr>
          <w:p w14:paraId="3B76923F">
            <w:pPr>
              <w:jc w:val="center"/>
              <w:rPr>
                <w:rFonts w:hint="default"/>
                <w:vertAlign w:val="baseline"/>
                <w:lang w:val="en-US" w:eastAsia="zh-CN"/>
              </w:rPr>
            </w:pPr>
            <w:r>
              <w:rPr>
                <w:rFonts w:hint="eastAsia"/>
                <w:lang w:val="en-US" w:eastAsia="zh-CN"/>
              </w:rPr>
              <w:t>保底金额报价</w:t>
            </w:r>
          </w:p>
        </w:tc>
        <w:tc>
          <w:tcPr>
            <w:tcW w:w="945" w:type="dxa"/>
          </w:tcPr>
          <w:p w14:paraId="355BAD96">
            <w:pPr>
              <w:rPr>
                <w:rFonts w:hint="default"/>
                <w:vertAlign w:val="baseline"/>
                <w:lang w:val="en-US" w:eastAsia="zh-CN"/>
              </w:rPr>
            </w:pPr>
            <w:r>
              <w:rPr>
                <w:rFonts w:hint="eastAsia"/>
                <w:lang w:val="en-US" w:eastAsia="zh-CN"/>
              </w:rPr>
              <w:t>20</w:t>
            </w:r>
            <w:r>
              <w:rPr>
                <w:rFonts w:hint="default"/>
                <w:lang w:val="en-US" w:eastAsia="zh-CN"/>
              </w:rPr>
              <w:t>分</w:t>
            </w:r>
          </w:p>
        </w:tc>
        <w:tc>
          <w:tcPr>
            <w:tcW w:w="5375" w:type="dxa"/>
          </w:tcPr>
          <w:p w14:paraId="58CC9590">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的最低保底</w:t>
            </w:r>
            <w:r>
              <w:rPr>
                <w:rFonts w:hint="default"/>
                <w:lang w:val="en-US" w:eastAsia="zh-CN"/>
              </w:rPr>
              <w:t>报价为评</w:t>
            </w:r>
            <w:r>
              <w:rPr>
                <w:rFonts w:hint="eastAsia"/>
                <w:lang w:val="en-US" w:eastAsia="zh-CN"/>
              </w:rPr>
              <w:t>分</w:t>
            </w:r>
            <w:r>
              <w:rPr>
                <w:rFonts w:hint="default"/>
                <w:lang w:val="en-US" w:eastAsia="zh-CN"/>
              </w:rPr>
              <w:t>基准价</w:t>
            </w:r>
            <w:r>
              <w:rPr>
                <w:rFonts w:hint="eastAsia"/>
                <w:lang w:val="en-US" w:eastAsia="zh-CN"/>
              </w:rPr>
              <w:t>5万元</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低于5万元不得分。超过10万元（含5万元）得满分20分。</w:t>
            </w:r>
          </w:p>
          <w:p w14:paraId="1F677995">
            <w:pPr>
              <w:rPr>
                <w:rFonts w:hint="default"/>
                <w:vertAlign w:val="baseline"/>
                <w:lang w:val="en-US" w:eastAsia="zh-CN"/>
              </w:rPr>
            </w:pPr>
            <w:r>
              <w:rPr>
                <w:rFonts w:hint="default"/>
                <w:lang w:val="en-US" w:eastAsia="zh-CN"/>
              </w:rPr>
              <w:t>价格分按照下列公式计算：报价得分 =</w:t>
            </w:r>
            <w:r>
              <w:rPr>
                <w:rFonts w:hint="eastAsia"/>
                <w:lang w:val="en-US" w:eastAsia="zh-CN"/>
              </w:rPr>
              <w:t>10+</w:t>
            </w:r>
            <w:r>
              <w:rPr>
                <w:rFonts w:hint="default"/>
                <w:lang w:val="en-US" w:eastAsia="zh-CN"/>
              </w:rPr>
              <w:t>（</w:t>
            </w:r>
            <w:r>
              <w:rPr>
                <w:rFonts w:hint="eastAsia"/>
                <w:lang w:val="en-US" w:eastAsia="zh-CN"/>
              </w:rPr>
              <w:t>保底金额-5万</w:t>
            </w:r>
            <w:r>
              <w:rPr>
                <w:rFonts w:hint="default"/>
                <w:lang w:val="en-US" w:eastAsia="zh-CN"/>
              </w:rPr>
              <w:t xml:space="preserve"> </w:t>
            </w:r>
            <w:r>
              <w:rPr>
                <w:rFonts w:hint="eastAsia"/>
                <w:lang w:val="en-US" w:eastAsia="zh-CN"/>
              </w:rPr>
              <w:t>）</w:t>
            </w:r>
            <w:r>
              <w:rPr>
                <w:rFonts w:hint="default"/>
                <w:lang w:val="en-US" w:eastAsia="zh-CN"/>
              </w:rPr>
              <w:t>/</w:t>
            </w:r>
            <w:r>
              <w:rPr>
                <w:rFonts w:hint="eastAsia"/>
                <w:lang w:val="en-US" w:eastAsia="zh-CN"/>
              </w:rPr>
              <w:t>5万</w:t>
            </w:r>
            <w:r>
              <w:rPr>
                <w:rFonts w:hint="default"/>
                <w:lang w:val="en-US" w:eastAsia="zh-CN"/>
              </w:rPr>
              <w:t xml:space="preserve">× </w:t>
            </w:r>
            <w:r>
              <w:rPr>
                <w:rFonts w:hint="eastAsia"/>
                <w:lang w:val="en-US" w:eastAsia="zh-CN"/>
              </w:rPr>
              <w:t>10</w:t>
            </w:r>
            <w:r>
              <w:rPr>
                <w:rFonts w:hint="default"/>
                <w:lang w:val="en-US" w:eastAsia="zh-CN"/>
              </w:rPr>
              <w:t>。</w:t>
            </w:r>
          </w:p>
        </w:tc>
      </w:tr>
      <w:tr w14:paraId="1013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0D760B">
            <w:pPr>
              <w:rPr>
                <w:rFonts w:hint="default"/>
                <w:vertAlign w:val="baseline"/>
                <w:lang w:val="en-US" w:eastAsia="zh-CN"/>
              </w:rPr>
            </w:pPr>
          </w:p>
        </w:tc>
        <w:tc>
          <w:tcPr>
            <w:tcW w:w="837" w:type="dxa"/>
            <w:vMerge w:val="continue"/>
          </w:tcPr>
          <w:p w14:paraId="73E35BA7">
            <w:pPr>
              <w:rPr>
                <w:rFonts w:hint="eastAsia"/>
                <w:vertAlign w:val="baseline"/>
                <w:lang w:val="en-US" w:eastAsia="zh-CN"/>
              </w:rPr>
            </w:pPr>
          </w:p>
        </w:tc>
        <w:tc>
          <w:tcPr>
            <w:tcW w:w="720" w:type="dxa"/>
          </w:tcPr>
          <w:p w14:paraId="5D57266C">
            <w:pPr>
              <w:rPr>
                <w:rFonts w:hint="default"/>
                <w:lang w:val="en-US" w:eastAsia="zh-CN"/>
              </w:rPr>
            </w:pPr>
            <w:r>
              <w:rPr>
                <w:rFonts w:hint="eastAsia"/>
                <w:lang w:val="en-US" w:eastAsia="zh-CN"/>
              </w:rPr>
              <w:t>分成比例</w:t>
            </w:r>
          </w:p>
        </w:tc>
        <w:tc>
          <w:tcPr>
            <w:tcW w:w="945" w:type="dxa"/>
          </w:tcPr>
          <w:p w14:paraId="3451AFB6">
            <w:pPr>
              <w:rPr>
                <w:rFonts w:hint="default"/>
                <w:lang w:val="en-US" w:eastAsia="zh-CN"/>
              </w:rPr>
            </w:pPr>
            <w:r>
              <w:rPr>
                <w:rFonts w:hint="eastAsia"/>
                <w:lang w:val="en-US" w:eastAsia="zh-CN"/>
              </w:rPr>
              <w:t>20分</w:t>
            </w:r>
          </w:p>
        </w:tc>
        <w:tc>
          <w:tcPr>
            <w:tcW w:w="5375" w:type="dxa"/>
          </w:tcPr>
          <w:p w14:paraId="35913915">
            <w:pPr>
              <w:rPr>
                <w:rFonts w:hint="default"/>
                <w:lang w:val="en-US" w:eastAsia="zh-CN"/>
              </w:rPr>
            </w:pPr>
            <w:r>
              <w:rPr>
                <w:rFonts w:hint="default"/>
                <w:lang w:val="en-US" w:eastAsia="zh-CN"/>
              </w:rPr>
              <w:t>满足</w:t>
            </w:r>
            <w:r>
              <w:rPr>
                <w:rFonts w:hint="eastAsia"/>
                <w:lang w:val="en-US" w:eastAsia="zh-CN"/>
              </w:rPr>
              <w:t>招商</w:t>
            </w:r>
            <w:r>
              <w:rPr>
                <w:rFonts w:hint="default"/>
                <w:lang w:val="en-US" w:eastAsia="zh-CN"/>
              </w:rPr>
              <w:t>文件要求</w:t>
            </w:r>
            <w:r>
              <w:rPr>
                <w:rFonts w:hint="eastAsia"/>
                <w:lang w:val="en-US" w:eastAsia="zh-CN"/>
              </w:rPr>
              <w:t>的</w:t>
            </w:r>
            <w:r>
              <w:rPr>
                <w:rFonts w:hint="default"/>
                <w:lang w:val="en-US" w:eastAsia="zh-CN"/>
              </w:rPr>
              <w:t>最低</w:t>
            </w:r>
            <w:r>
              <w:rPr>
                <w:rFonts w:hint="eastAsia"/>
                <w:lang w:val="en-US" w:eastAsia="zh-CN"/>
              </w:rPr>
              <w:t>分成比例</w:t>
            </w:r>
            <w:r>
              <w:rPr>
                <w:rFonts w:hint="default"/>
                <w:lang w:val="en-US" w:eastAsia="zh-CN"/>
              </w:rPr>
              <w:t>为评</w:t>
            </w:r>
            <w:r>
              <w:rPr>
                <w:rFonts w:hint="eastAsia"/>
                <w:lang w:val="en-US" w:eastAsia="zh-CN"/>
              </w:rPr>
              <w:t>分</w:t>
            </w:r>
            <w:r>
              <w:rPr>
                <w:rFonts w:hint="default"/>
                <w:lang w:val="en-US" w:eastAsia="zh-CN"/>
              </w:rPr>
              <w:t>基准</w:t>
            </w:r>
            <w:r>
              <w:rPr>
                <w:rFonts w:hint="eastAsia"/>
                <w:lang w:val="en-US" w:eastAsia="zh-CN"/>
              </w:rPr>
              <w:t>15%</w:t>
            </w:r>
            <w:r>
              <w:rPr>
                <w:rFonts w:hint="default"/>
                <w:lang w:val="en-US" w:eastAsia="zh-CN"/>
              </w:rPr>
              <w:t>，其价格分为</w:t>
            </w:r>
            <w:r>
              <w:rPr>
                <w:rFonts w:hint="eastAsia"/>
                <w:lang w:val="en-US" w:eastAsia="zh-CN"/>
              </w:rPr>
              <w:t>10</w:t>
            </w:r>
            <w:r>
              <w:rPr>
                <w:rFonts w:hint="default"/>
                <w:lang w:val="en-US" w:eastAsia="zh-CN"/>
              </w:rPr>
              <w:t>分。</w:t>
            </w:r>
            <w:r>
              <w:rPr>
                <w:rFonts w:hint="eastAsia"/>
                <w:lang w:val="en-US" w:eastAsia="zh-CN"/>
              </w:rPr>
              <w:t>低于15%不得分。超过25%得满分20分。</w:t>
            </w:r>
          </w:p>
          <w:p w14:paraId="7109CECC">
            <w:pPr>
              <w:rPr>
                <w:rFonts w:hint="default"/>
                <w:lang w:val="en-US" w:eastAsia="zh-CN"/>
              </w:rPr>
            </w:pPr>
            <w:r>
              <w:rPr>
                <w:rFonts w:hint="default"/>
                <w:lang w:val="en-US" w:eastAsia="zh-CN"/>
              </w:rPr>
              <w:t>价格分按照下列公式计算：</w:t>
            </w:r>
            <w:r>
              <w:rPr>
                <w:rFonts w:hint="eastAsia"/>
                <w:lang w:val="en-US" w:eastAsia="zh-CN"/>
              </w:rPr>
              <w:t>分成比例</w:t>
            </w:r>
            <w:r>
              <w:rPr>
                <w:rFonts w:hint="default"/>
                <w:lang w:val="en-US" w:eastAsia="zh-CN"/>
              </w:rPr>
              <w:t>得分 =</w:t>
            </w:r>
            <w:r>
              <w:rPr>
                <w:rFonts w:hint="eastAsia"/>
                <w:lang w:val="en-US" w:eastAsia="zh-CN"/>
              </w:rPr>
              <w:t>10+</w:t>
            </w:r>
            <w:r>
              <w:rPr>
                <w:rFonts w:hint="default"/>
                <w:lang w:val="en-US" w:eastAsia="zh-CN"/>
              </w:rPr>
              <w:t>（</w:t>
            </w:r>
            <w:r>
              <w:rPr>
                <w:rFonts w:hint="eastAsia"/>
                <w:lang w:val="en-US" w:eastAsia="zh-CN"/>
              </w:rPr>
              <w:t>分成比例-15%）</w:t>
            </w:r>
            <w:r>
              <w:rPr>
                <w:rFonts w:hint="default"/>
                <w:lang w:val="en-US" w:eastAsia="zh-CN"/>
              </w:rPr>
              <w:t xml:space="preserve">/ </w:t>
            </w:r>
            <w:r>
              <w:rPr>
                <w:rFonts w:hint="eastAsia"/>
                <w:lang w:val="en-US" w:eastAsia="zh-CN"/>
              </w:rPr>
              <w:t>10%</w:t>
            </w:r>
            <w:r>
              <w:rPr>
                <w:rFonts w:hint="default"/>
                <w:lang w:val="en-US" w:eastAsia="zh-CN"/>
              </w:rPr>
              <w:t xml:space="preserve">× </w:t>
            </w:r>
            <w:r>
              <w:rPr>
                <w:rFonts w:hint="eastAsia"/>
                <w:lang w:val="en-US" w:eastAsia="zh-CN"/>
              </w:rPr>
              <w:t>10</w:t>
            </w:r>
            <w:r>
              <w:rPr>
                <w:rFonts w:hint="default"/>
                <w:lang w:val="en-US" w:eastAsia="zh-CN"/>
              </w:rPr>
              <w:t>。</w:t>
            </w:r>
          </w:p>
        </w:tc>
      </w:tr>
      <w:tr w14:paraId="3223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4112C25A">
            <w:pPr>
              <w:jc w:val="center"/>
              <w:rPr>
                <w:rFonts w:hint="default"/>
                <w:vertAlign w:val="baseline"/>
                <w:lang w:val="en-US" w:eastAsia="zh-CN"/>
              </w:rPr>
            </w:pPr>
            <w:r>
              <w:rPr>
                <w:rFonts w:hint="eastAsia"/>
                <w:vertAlign w:val="baseline"/>
                <w:lang w:val="en-US" w:eastAsia="zh-CN"/>
              </w:rPr>
              <w:t>总分100分</w:t>
            </w:r>
          </w:p>
        </w:tc>
      </w:tr>
    </w:tbl>
    <w:p w14:paraId="32F11013">
      <w:pPr>
        <w:rPr>
          <w:rFonts w:hint="default"/>
          <w:lang w:val="en-US" w:eastAsia="zh-CN"/>
        </w:rPr>
      </w:pPr>
    </w:p>
    <w:p w14:paraId="0F40211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三、其他说明</w:t>
      </w:r>
    </w:p>
    <w:p w14:paraId="540D4376">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各评委独立打分，最后汇总计算平均得分作为各意向合作单位的最终得分。若出现得分相同的情况，以报价低者优先；若报价相同，则以建设经营方案得分高者优先。</w:t>
      </w:r>
    </w:p>
    <w:p w14:paraId="0BB3F7C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评分小组有权要求意向合作单位对招商文件中的有关问题进行澄清或说明，但澄清或说明的内容不得超出招商文件的范围或改变招商文件的实质性内容。</w:t>
      </w:r>
    </w:p>
    <w:p w14:paraId="635FFB2D">
      <w:pPr>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79DD72-EEC4-4970-B834-5BB1AEE76DB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0010101010101"/>
    <w:charset w:val="86"/>
    <w:family w:val="auto"/>
    <w:pitch w:val="default"/>
    <w:sig w:usb0="00000001" w:usb1="080E0000" w:usb2="00000000" w:usb3="00000000" w:csb0="00040000" w:csb1="00000000"/>
    <w:embedRegular r:id="rId2" w:fontKey="{A16FE0F2-D279-4972-9643-35CE9042D0B7}"/>
  </w:font>
  <w:font w:name="仿宋_GB2312">
    <w:panose1 w:val="02010609030101010101"/>
    <w:charset w:val="86"/>
    <w:family w:val="auto"/>
    <w:pitch w:val="default"/>
    <w:sig w:usb0="00000001" w:usb1="080E0000" w:usb2="00000000" w:usb3="00000000" w:csb0="00040000" w:csb1="00000000"/>
    <w:embedRegular r:id="rId3" w:fontKey="{877741C2-2EB4-4CD5-885A-C4E99C6E5BC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Y2U5N2QxOTY2ZmE0YmUzNzcxZTc4NmI3YjE3NmIifQ=="/>
  </w:docVars>
  <w:rsids>
    <w:rsidRoot w:val="1A325DA6"/>
    <w:rsid w:val="1A325DA6"/>
    <w:rsid w:val="1F1C41C8"/>
    <w:rsid w:val="294A4553"/>
    <w:rsid w:val="2A2B1366"/>
    <w:rsid w:val="30CA76BA"/>
    <w:rsid w:val="37B12955"/>
    <w:rsid w:val="3F2E373C"/>
    <w:rsid w:val="43D610C2"/>
    <w:rsid w:val="50446DA2"/>
    <w:rsid w:val="57C82E1B"/>
    <w:rsid w:val="63703684"/>
    <w:rsid w:val="716813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1871</Words>
  <Characters>1939</Characters>
  <Lines>0</Lines>
  <Paragraphs>0</Paragraphs>
  <TotalTime>0</TotalTime>
  <ScaleCrop>false</ScaleCrop>
  <LinksUpToDate>false</LinksUpToDate>
  <CharactersWithSpaces>2033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2025-03-26T09:17:00Z</dcterms:created>
  <dc:creator>二狗</dc:creator>
  <cp:lastModifiedBy>大大的招财猫</cp:lastModifiedBy>
  <cp:lastPrinted>2025-04-08T10:31:00Z</cp:lastPrinted>
  <dcterms:modified xsi:type="dcterms:W3CDTF">2025-07-08T02:12:48Z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3A05AFDE41CD439985BE12CD87E8F023</vt:lpwstr>
  </property>
  <property fmtid="{D5CDD505-2E9C-101B-9397-08002B2CF9AE}" pid="4" name="KSOTemplateDocerSaveRecord">
    <vt:lpwstr>eyJoZGlkIjoiMjlhMzY3MDI5Y2M0NjBlYzYwNTQ0NTdjNWQ0MDJlN2MiLCJ1c2VySWQiOiIxMTY1ODg4ODM0In0=</vt:lpwstr>
  </property>
</Properties>
</file>